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7122" w14:textId="45A9A01D" w:rsidR="00F653C8" w:rsidRPr="00CC506B" w:rsidRDefault="00F653C8" w:rsidP="00F653C8">
      <w:pPr>
        <w:spacing w:line="100" w:lineRule="atLeast"/>
        <w:rPr>
          <w:rFonts w:asciiTheme="majorHAnsi" w:hAnsiTheme="majorHAnsi" w:cstheme="minorHAnsi"/>
        </w:rPr>
      </w:pPr>
      <w:r w:rsidRPr="00CC506B">
        <w:rPr>
          <w:rFonts w:asciiTheme="majorHAnsi" w:hAnsiTheme="majorHAnsi" w:cstheme="minorHAnsi"/>
        </w:rPr>
        <w:t xml:space="preserve">                                                             </w:t>
      </w:r>
      <w:r w:rsidR="00B25576" w:rsidRPr="00F50260">
        <w:rPr>
          <w:noProof/>
        </w:rPr>
        <w:drawing>
          <wp:inline distT="0" distB="0" distL="0" distR="0" wp14:anchorId="4207817D" wp14:editId="34FF6A9C">
            <wp:extent cx="1979930" cy="30746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79930" cy="3074670"/>
                    </a:xfrm>
                    <a:prstGeom prst="rect">
                      <a:avLst/>
                    </a:prstGeom>
                    <a:noFill/>
                    <a:ln>
                      <a:noFill/>
                    </a:ln>
                  </pic:spPr>
                </pic:pic>
              </a:graphicData>
            </a:graphic>
          </wp:inline>
        </w:drawing>
      </w:r>
    </w:p>
    <w:p w14:paraId="18F2FCA5" w14:textId="77777777" w:rsidR="00F653C8" w:rsidRPr="00CC506B" w:rsidRDefault="00F653C8" w:rsidP="00F653C8">
      <w:pPr>
        <w:spacing w:line="100" w:lineRule="atLeast"/>
        <w:rPr>
          <w:rFonts w:asciiTheme="majorHAnsi" w:hAnsiTheme="majorHAnsi" w:cstheme="minorHAnsi"/>
        </w:rPr>
      </w:pPr>
    </w:p>
    <w:p w14:paraId="3CD310DF" w14:textId="77777777" w:rsidR="00F653C8" w:rsidRPr="00CC506B" w:rsidRDefault="00F653C8" w:rsidP="00F653C8">
      <w:pPr>
        <w:spacing w:line="100" w:lineRule="atLeast"/>
        <w:rPr>
          <w:rFonts w:asciiTheme="majorHAnsi" w:hAnsiTheme="majorHAnsi" w:cstheme="minorHAnsi"/>
        </w:rPr>
      </w:pPr>
    </w:p>
    <w:p w14:paraId="083B0711" w14:textId="77777777" w:rsidR="00F653C8" w:rsidRPr="00CC506B" w:rsidRDefault="00F653C8" w:rsidP="00F653C8">
      <w:pPr>
        <w:spacing w:line="100" w:lineRule="atLeast"/>
        <w:rPr>
          <w:rFonts w:asciiTheme="majorHAnsi" w:hAnsiTheme="majorHAnsi" w:cstheme="minorHAnsi"/>
        </w:rPr>
      </w:pPr>
    </w:p>
    <w:p w14:paraId="5B8AD8A9" w14:textId="77777777" w:rsidR="00F653C8" w:rsidRPr="00CC506B" w:rsidRDefault="00F653C8" w:rsidP="00F653C8">
      <w:pPr>
        <w:spacing w:line="100" w:lineRule="atLeast"/>
        <w:rPr>
          <w:rFonts w:asciiTheme="majorHAnsi" w:hAnsiTheme="majorHAnsi" w:cstheme="minorHAnsi"/>
          <w:b/>
        </w:rPr>
      </w:pPr>
    </w:p>
    <w:p w14:paraId="78A6C227" w14:textId="77777777" w:rsidR="00F653C8" w:rsidRPr="00082F7B" w:rsidRDefault="00F653C8" w:rsidP="00F653C8">
      <w:pPr>
        <w:spacing w:after="0" w:line="100" w:lineRule="atLeast"/>
        <w:jc w:val="center"/>
        <w:rPr>
          <w:rFonts w:asciiTheme="majorHAnsi" w:hAnsiTheme="majorHAnsi" w:cstheme="minorHAnsi"/>
          <w:b/>
          <w:sz w:val="24"/>
          <w:szCs w:val="24"/>
        </w:rPr>
      </w:pPr>
    </w:p>
    <w:p w14:paraId="30734E8D" w14:textId="77777777" w:rsidR="00F653C8" w:rsidRPr="00082F7B" w:rsidRDefault="00F653C8" w:rsidP="00F653C8">
      <w:pPr>
        <w:spacing w:after="0" w:line="100" w:lineRule="atLeast"/>
        <w:jc w:val="center"/>
        <w:rPr>
          <w:rFonts w:asciiTheme="majorHAnsi" w:hAnsiTheme="majorHAnsi" w:cstheme="minorHAnsi"/>
          <w:b/>
          <w:sz w:val="24"/>
          <w:szCs w:val="24"/>
        </w:rPr>
      </w:pPr>
      <w:r w:rsidRPr="00082F7B">
        <w:rPr>
          <w:rFonts w:asciiTheme="majorHAnsi" w:hAnsiTheme="majorHAnsi" w:cstheme="minorHAnsi"/>
          <w:b/>
          <w:sz w:val="24"/>
          <w:szCs w:val="24"/>
        </w:rPr>
        <w:t>K O N C E S I O N I   A K T</w:t>
      </w:r>
    </w:p>
    <w:p w14:paraId="5C0A440A" w14:textId="5E5EBFB3" w:rsidR="00F653C8" w:rsidRPr="00082F7B" w:rsidRDefault="00F653C8" w:rsidP="00920540">
      <w:pPr>
        <w:spacing w:after="0" w:line="100" w:lineRule="atLeast"/>
        <w:jc w:val="center"/>
        <w:rPr>
          <w:rFonts w:asciiTheme="majorHAnsi" w:hAnsiTheme="majorHAnsi" w:cstheme="minorHAnsi"/>
          <w:b/>
          <w:sz w:val="24"/>
          <w:szCs w:val="24"/>
        </w:rPr>
      </w:pPr>
      <w:r w:rsidRPr="00082F7B">
        <w:rPr>
          <w:rFonts w:asciiTheme="majorHAnsi" w:hAnsiTheme="majorHAnsi" w:cstheme="minorHAnsi"/>
          <w:b/>
          <w:sz w:val="24"/>
          <w:szCs w:val="24"/>
        </w:rPr>
        <w:t>o  mineralnoj sirovini tehničko-građevinskog kamena</w:t>
      </w:r>
      <w:r w:rsidR="00F35F1C" w:rsidRPr="00082F7B">
        <w:rPr>
          <w:rFonts w:asciiTheme="majorHAnsi" w:hAnsiTheme="majorHAnsi" w:cstheme="minorHAnsi"/>
          <w:b/>
          <w:sz w:val="24"/>
          <w:szCs w:val="24"/>
        </w:rPr>
        <w:t xml:space="preserve"> (krečnjak</w:t>
      </w:r>
      <w:r w:rsidRPr="00082F7B">
        <w:rPr>
          <w:rFonts w:asciiTheme="majorHAnsi" w:hAnsiTheme="majorHAnsi" w:cstheme="minorHAnsi"/>
          <w:b/>
          <w:sz w:val="24"/>
          <w:szCs w:val="24"/>
        </w:rPr>
        <w:t>)  ležišta ”Štitarica-Taskavac”,</w:t>
      </w:r>
      <w:r w:rsidR="00920540" w:rsidRPr="00082F7B">
        <w:rPr>
          <w:rFonts w:asciiTheme="majorHAnsi" w:hAnsiTheme="majorHAnsi" w:cstheme="minorHAnsi"/>
          <w:b/>
          <w:sz w:val="24"/>
          <w:szCs w:val="24"/>
        </w:rPr>
        <w:t xml:space="preserve"> </w:t>
      </w:r>
      <w:r w:rsidRPr="00082F7B">
        <w:rPr>
          <w:rFonts w:asciiTheme="majorHAnsi" w:hAnsiTheme="majorHAnsi" w:cstheme="minorHAnsi"/>
          <w:b/>
          <w:sz w:val="24"/>
          <w:szCs w:val="24"/>
        </w:rPr>
        <w:t>opština Mojkovac</w:t>
      </w:r>
    </w:p>
    <w:p w14:paraId="10E1151E" w14:textId="77777777" w:rsidR="00F653C8" w:rsidRPr="00CC506B" w:rsidRDefault="00F653C8" w:rsidP="00F653C8">
      <w:pPr>
        <w:spacing w:after="0" w:line="100" w:lineRule="atLeast"/>
        <w:rPr>
          <w:rFonts w:asciiTheme="majorHAnsi" w:hAnsiTheme="majorHAnsi" w:cstheme="minorHAnsi"/>
          <w:b/>
        </w:rPr>
      </w:pPr>
    </w:p>
    <w:p w14:paraId="25F3DF71" w14:textId="77777777" w:rsidR="00F653C8" w:rsidRPr="00CC506B" w:rsidRDefault="00F653C8" w:rsidP="00F653C8">
      <w:pPr>
        <w:spacing w:after="0" w:line="100" w:lineRule="atLeast"/>
        <w:rPr>
          <w:rFonts w:asciiTheme="majorHAnsi" w:hAnsiTheme="majorHAnsi" w:cstheme="minorHAnsi"/>
          <w:b/>
        </w:rPr>
      </w:pPr>
    </w:p>
    <w:p w14:paraId="17CFA6BA" w14:textId="77777777" w:rsidR="00F653C8" w:rsidRPr="00CC506B" w:rsidRDefault="00F653C8" w:rsidP="00F653C8">
      <w:pPr>
        <w:spacing w:after="0" w:line="100" w:lineRule="atLeast"/>
        <w:rPr>
          <w:rFonts w:asciiTheme="majorHAnsi" w:hAnsiTheme="majorHAnsi" w:cstheme="minorHAnsi"/>
          <w:b/>
        </w:rPr>
      </w:pPr>
    </w:p>
    <w:p w14:paraId="143BFBA6" w14:textId="77777777" w:rsidR="00F653C8" w:rsidRPr="00CC506B" w:rsidRDefault="00F653C8" w:rsidP="00F653C8">
      <w:pPr>
        <w:spacing w:after="0" w:line="100" w:lineRule="atLeast"/>
        <w:rPr>
          <w:rFonts w:asciiTheme="majorHAnsi" w:hAnsiTheme="majorHAnsi" w:cstheme="minorHAnsi"/>
          <w:b/>
        </w:rPr>
      </w:pPr>
    </w:p>
    <w:p w14:paraId="5C31CD1E" w14:textId="77777777" w:rsidR="00F653C8" w:rsidRPr="00CC506B" w:rsidRDefault="00F653C8" w:rsidP="00F653C8">
      <w:pPr>
        <w:spacing w:after="0" w:line="100" w:lineRule="atLeast"/>
        <w:rPr>
          <w:rFonts w:asciiTheme="majorHAnsi" w:hAnsiTheme="majorHAnsi" w:cstheme="minorHAnsi"/>
          <w:b/>
        </w:rPr>
      </w:pPr>
    </w:p>
    <w:p w14:paraId="7D96F27A" w14:textId="77777777" w:rsidR="00F653C8" w:rsidRPr="00CC506B" w:rsidRDefault="00F653C8" w:rsidP="00F653C8">
      <w:pPr>
        <w:spacing w:after="0" w:line="100" w:lineRule="atLeast"/>
        <w:rPr>
          <w:rFonts w:asciiTheme="majorHAnsi" w:hAnsiTheme="majorHAnsi" w:cstheme="minorHAnsi"/>
          <w:b/>
        </w:rPr>
      </w:pPr>
    </w:p>
    <w:p w14:paraId="22E138D2" w14:textId="77777777" w:rsidR="00F653C8" w:rsidRPr="00CC506B" w:rsidRDefault="00F653C8" w:rsidP="00F653C8">
      <w:pPr>
        <w:spacing w:after="0" w:line="100" w:lineRule="atLeast"/>
        <w:rPr>
          <w:rFonts w:asciiTheme="majorHAnsi" w:hAnsiTheme="majorHAnsi" w:cstheme="minorHAnsi"/>
          <w:b/>
        </w:rPr>
      </w:pPr>
    </w:p>
    <w:p w14:paraId="354D8590" w14:textId="77777777" w:rsidR="00F653C8" w:rsidRPr="00CC506B" w:rsidRDefault="00F653C8" w:rsidP="00F653C8">
      <w:pPr>
        <w:spacing w:after="0" w:line="100" w:lineRule="atLeast"/>
        <w:rPr>
          <w:rFonts w:asciiTheme="majorHAnsi" w:hAnsiTheme="majorHAnsi" w:cstheme="minorHAnsi"/>
          <w:b/>
        </w:rPr>
      </w:pPr>
    </w:p>
    <w:p w14:paraId="7A09C4C5" w14:textId="77777777" w:rsidR="00F653C8" w:rsidRPr="00CC506B" w:rsidRDefault="00F653C8" w:rsidP="00F653C8">
      <w:pPr>
        <w:spacing w:after="0" w:line="100" w:lineRule="atLeast"/>
        <w:rPr>
          <w:rFonts w:asciiTheme="majorHAnsi" w:hAnsiTheme="majorHAnsi" w:cstheme="minorHAnsi"/>
          <w:b/>
        </w:rPr>
      </w:pPr>
    </w:p>
    <w:p w14:paraId="63CEA323" w14:textId="77777777" w:rsidR="00F653C8" w:rsidRPr="00CC506B" w:rsidRDefault="00F653C8" w:rsidP="00F653C8">
      <w:pPr>
        <w:spacing w:after="0" w:line="100" w:lineRule="atLeast"/>
        <w:rPr>
          <w:rFonts w:asciiTheme="majorHAnsi" w:hAnsiTheme="majorHAnsi" w:cstheme="minorHAnsi"/>
          <w:b/>
        </w:rPr>
      </w:pPr>
    </w:p>
    <w:p w14:paraId="09557360" w14:textId="77777777" w:rsidR="00F653C8" w:rsidRPr="00CC506B" w:rsidRDefault="00F653C8" w:rsidP="00F653C8">
      <w:pPr>
        <w:spacing w:after="0" w:line="100" w:lineRule="atLeast"/>
        <w:rPr>
          <w:rFonts w:asciiTheme="majorHAnsi" w:hAnsiTheme="majorHAnsi" w:cstheme="minorHAnsi"/>
          <w:b/>
        </w:rPr>
      </w:pPr>
    </w:p>
    <w:p w14:paraId="2E37CE71" w14:textId="77777777" w:rsidR="00F653C8" w:rsidRPr="00CC506B" w:rsidRDefault="00F653C8" w:rsidP="00F653C8">
      <w:pPr>
        <w:spacing w:after="0" w:line="100" w:lineRule="atLeast"/>
        <w:rPr>
          <w:rFonts w:asciiTheme="majorHAnsi" w:hAnsiTheme="majorHAnsi" w:cstheme="minorHAnsi"/>
          <w:b/>
        </w:rPr>
      </w:pPr>
    </w:p>
    <w:p w14:paraId="2DF7911B" w14:textId="77777777" w:rsidR="00F653C8" w:rsidRPr="00CC506B" w:rsidRDefault="00F653C8" w:rsidP="00F653C8">
      <w:pPr>
        <w:spacing w:after="0" w:line="100" w:lineRule="atLeast"/>
        <w:rPr>
          <w:rFonts w:asciiTheme="majorHAnsi" w:hAnsiTheme="majorHAnsi" w:cstheme="minorHAnsi"/>
          <w:b/>
        </w:rPr>
      </w:pPr>
    </w:p>
    <w:p w14:paraId="0D867A4D" w14:textId="77777777" w:rsidR="00F653C8" w:rsidRPr="00CC506B" w:rsidRDefault="00F653C8" w:rsidP="00F653C8">
      <w:pPr>
        <w:spacing w:after="0" w:line="100" w:lineRule="atLeast"/>
        <w:rPr>
          <w:rFonts w:asciiTheme="majorHAnsi" w:hAnsiTheme="majorHAnsi" w:cstheme="minorHAnsi"/>
          <w:b/>
        </w:rPr>
      </w:pPr>
    </w:p>
    <w:p w14:paraId="7B0E8601" w14:textId="77777777" w:rsidR="00F653C8" w:rsidRPr="00CC506B" w:rsidRDefault="00F653C8" w:rsidP="00F653C8">
      <w:pPr>
        <w:spacing w:after="0" w:line="100" w:lineRule="atLeast"/>
        <w:rPr>
          <w:rFonts w:asciiTheme="majorHAnsi" w:hAnsiTheme="majorHAnsi" w:cstheme="minorHAnsi"/>
          <w:b/>
        </w:rPr>
      </w:pPr>
    </w:p>
    <w:p w14:paraId="7737D0BE" w14:textId="77777777" w:rsidR="00F653C8" w:rsidRPr="00CC506B" w:rsidRDefault="00F653C8" w:rsidP="00F653C8">
      <w:pPr>
        <w:spacing w:after="0" w:line="100" w:lineRule="atLeast"/>
        <w:rPr>
          <w:rFonts w:asciiTheme="majorHAnsi" w:hAnsiTheme="majorHAnsi" w:cstheme="minorHAnsi"/>
          <w:b/>
        </w:rPr>
      </w:pPr>
    </w:p>
    <w:p w14:paraId="334FF6F2" w14:textId="77777777" w:rsidR="00F653C8" w:rsidRPr="00CC506B" w:rsidRDefault="00F653C8" w:rsidP="00F653C8">
      <w:pPr>
        <w:spacing w:after="0" w:line="100" w:lineRule="atLeast"/>
        <w:rPr>
          <w:rFonts w:asciiTheme="majorHAnsi" w:hAnsiTheme="majorHAnsi" w:cstheme="minorHAnsi"/>
          <w:b/>
        </w:rPr>
      </w:pPr>
    </w:p>
    <w:p w14:paraId="1DC16760" w14:textId="77777777" w:rsidR="00F653C8" w:rsidRPr="00CC506B" w:rsidRDefault="00F653C8" w:rsidP="00F653C8">
      <w:pPr>
        <w:spacing w:after="0" w:line="100" w:lineRule="atLeast"/>
        <w:rPr>
          <w:rFonts w:asciiTheme="majorHAnsi" w:hAnsiTheme="majorHAnsi" w:cstheme="minorHAnsi"/>
          <w:b/>
        </w:rPr>
      </w:pPr>
    </w:p>
    <w:p w14:paraId="1FA78FF7" w14:textId="77777777" w:rsidR="00F653C8" w:rsidRPr="00CC506B" w:rsidRDefault="00F653C8" w:rsidP="00F653C8">
      <w:pPr>
        <w:spacing w:after="0" w:line="100" w:lineRule="atLeast"/>
        <w:rPr>
          <w:rFonts w:asciiTheme="majorHAnsi" w:hAnsiTheme="majorHAnsi" w:cstheme="minorHAnsi"/>
          <w:b/>
        </w:rPr>
      </w:pPr>
    </w:p>
    <w:p w14:paraId="29D029E6" w14:textId="7767C75E" w:rsidR="00F653C8" w:rsidRPr="00CC506B" w:rsidRDefault="00F653C8" w:rsidP="00F653C8">
      <w:pPr>
        <w:spacing w:after="0" w:line="100" w:lineRule="atLeast"/>
        <w:rPr>
          <w:rFonts w:asciiTheme="majorHAnsi" w:hAnsiTheme="majorHAnsi" w:cstheme="minorHAnsi"/>
          <w:b/>
        </w:rPr>
      </w:pPr>
      <w:r w:rsidRPr="00CC506B">
        <w:rPr>
          <w:rFonts w:asciiTheme="majorHAnsi" w:hAnsiTheme="majorHAnsi" w:cstheme="minorHAnsi"/>
          <w:b/>
        </w:rPr>
        <w:lastRenderedPageBreak/>
        <w:t xml:space="preserve">                                                                         </w:t>
      </w:r>
      <w:r w:rsidR="00082F7B">
        <w:rPr>
          <w:rFonts w:asciiTheme="majorHAnsi" w:hAnsiTheme="majorHAnsi" w:cstheme="minorHAnsi"/>
          <w:b/>
        </w:rPr>
        <w:t xml:space="preserve">                 </w:t>
      </w:r>
    </w:p>
    <w:p w14:paraId="31E42C21" w14:textId="77777777" w:rsidR="00F653C8" w:rsidRPr="00CC506B" w:rsidRDefault="00F653C8" w:rsidP="00F653C8">
      <w:pPr>
        <w:spacing w:after="0" w:line="100" w:lineRule="atLeast"/>
        <w:rPr>
          <w:rFonts w:asciiTheme="majorHAnsi" w:hAnsiTheme="majorHAnsi" w:cstheme="minorHAnsi"/>
          <w:b/>
        </w:rPr>
      </w:pPr>
    </w:p>
    <w:p w14:paraId="197DC415" w14:textId="77777777" w:rsidR="00F653C8" w:rsidRPr="00CC506B" w:rsidRDefault="00F653C8" w:rsidP="00F653C8">
      <w:pPr>
        <w:spacing w:after="0" w:line="100" w:lineRule="atLeast"/>
        <w:rPr>
          <w:rFonts w:asciiTheme="majorHAnsi" w:hAnsiTheme="majorHAnsi" w:cstheme="minorHAnsi"/>
          <w:i/>
        </w:rPr>
      </w:pPr>
    </w:p>
    <w:p w14:paraId="08D82828" w14:textId="72314582" w:rsidR="00F653C8" w:rsidRPr="00CC506B" w:rsidRDefault="00F653C8" w:rsidP="00F653C8">
      <w:pPr>
        <w:spacing w:after="0" w:line="100" w:lineRule="atLeast"/>
        <w:rPr>
          <w:rFonts w:asciiTheme="majorHAnsi" w:hAnsiTheme="majorHAnsi" w:cstheme="minorHAnsi"/>
          <w:b/>
        </w:rPr>
      </w:pPr>
      <w:r w:rsidRPr="00CC506B">
        <w:rPr>
          <w:rFonts w:asciiTheme="majorHAnsi" w:hAnsiTheme="majorHAnsi" w:cstheme="minorHAnsi"/>
          <w:i/>
        </w:rPr>
        <w:t xml:space="preserve">                                                   </w:t>
      </w:r>
      <w:r w:rsidR="00082F7B" w:rsidRPr="00F50260">
        <w:rPr>
          <w:noProof/>
        </w:rPr>
        <w:drawing>
          <wp:inline distT="0" distB="0" distL="0" distR="0" wp14:anchorId="78053498" wp14:editId="655E0D6A">
            <wp:extent cx="1982470" cy="307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2470" cy="3076575"/>
                    </a:xfrm>
                    <a:prstGeom prst="rect">
                      <a:avLst/>
                    </a:prstGeom>
                    <a:noFill/>
                    <a:ln>
                      <a:noFill/>
                    </a:ln>
                  </pic:spPr>
                </pic:pic>
              </a:graphicData>
            </a:graphic>
          </wp:inline>
        </w:drawing>
      </w:r>
      <w:r w:rsidRPr="00CC506B">
        <w:rPr>
          <w:rFonts w:asciiTheme="majorHAnsi" w:hAnsiTheme="majorHAnsi" w:cstheme="minorHAnsi"/>
          <w:b/>
        </w:rPr>
        <w:t xml:space="preserve">                                                  </w:t>
      </w:r>
    </w:p>
    <w:p w14:paraId="678947CB" w14:textId="1E2E06E1" w:rsidR="00F653C8" w:rsidRPr="00CC506B" w:rsidRDefault="00F653C8" w:rsidP="00F653C8">
      <w:pPr>
        <w:spacing w:after="0" w:line="100" w:lineRule="atLeast"/>
        <w:rPr>
          <w:rFonts w:asciiTheme="majorHAnsi" w:hAnsiTheme="majorHAnsi" w:cstheme="minorHAnsi"/>
          <w:b/>
        </w:rPr>
      </w:pPr>
      <w:r w:rsidRPr="00CC506B">
        <w:rPr>
          <w:rFonts w:asciiTheme="majorHAnsi" w:hAnsiTheme="majorHAnsi" w:cstheme="minorHAnsi"/>
          <w:b/>
        </w:rPr>
        <w:t xml:space="preserve">                                                 </w:t>
      </w:r>
    </w:p>
    <w:p w14:paraId="1894189B" w14:textId="77777777" w:rsidR="00F653C8" w:rsidRPr="00CC506B" w:rsidRDefault="00F653C8" w:rsidP="00F653C8">
      <w:pPr>
        <w:spacing w:after="0" w:line="100" w:lineRule="atLeast"/>
        <w:rPr>
          <w:rFonts w:asciiTheme="majorHAnsi" w:hAnsiTheme="majorHAnsi" w:cstheme="minorHAnsi"/>
          <w:b/>
        </w:rPr>
      </w:pPr>
    </w:p>
    <w:p w14:paraId="0480AE55" w14:textId="77777777" w:rsidR="00F653C8" w:rsidRPr="00082F7B" w:rsidRDefault="009B05C3"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Broj: 01-</w:t>
      </w:r>
      <w:r w:rsidR="00A16F91" w:rsidRPr="00082F7B">
        <w:rPr>
          <w:rFonts w:asciiTheme="majorHAnsi" w:hAnsiTheme="majorHAnsi" w:cstheme="minorHAnsi"/>
          <w:b/>
          <w:sz w:val="24"/>
          <w:szCs w:val="24"/>
        </w:rPr>
        <w:t>167/4</w:t>
      </w:r>
    </w:p>
    <w:p w14:paraId="57AC92F2" w14:textId="77777777" w:rsidR="00F653C8" w:rsidRPr="00082F7B" w:rsidRDefault="00043632"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Podgorica, 25.01.</w:t>
      </w:r>
      <w:r w:rsidR="007F7C0F" w:rsidRPr="00082F7B">
        <w:rPr>
          <w:rFonts w:asciiTheme="majorHAnsi" w:hAnsiTheme="majorHAnsi" w:cstheme="minorHAnsi"/>
          <w:b/>
          <w:sz w:val="24"/>
          <w:szCs w:val="24"/>
        </w:rPr>
        <w:t>2016</w:t>
      </w:r>
      <w:r w:rsidR="00F653C8" w:rsidRPr="00082F7B">
        <w:rPr>
          <w:rFonts w:asciiTheme="majorHAnsi" w:hAnsiTheme="majorHAnsi" w:cstheme="minorHAnsi"/>
          <w:b/>
          <w:sz w:val="24"/>
          <w:szCs w:val="24"/>
        </w:rPr>
        <w:t>. godine</w:t>
      </w:r>
    </w:p>
    <w:p w14:paraId="775CD77E" w14:textId="77777777" w:rsidR="00F653C8" w:rsidRPr="00082F7B" w:rsidRDefault="00F653C8" w:rsidP="00F653C8">
      <w:pPr>
        <w:spacing w:line="100" w:lineRule="atLeast"/>
        <w:rPr>
          <w:rFonts w:asciiTheme="majorHAnsi" w:hAnsiTheme="majorHAnsi" w:cstheme="minorHAnsi"/>
          <w:b/>
          <w:sz w:val="24"/>
          <w:szCs w:val="24"/>
        </w:rPr>
      </w:pPr>
    </w:p>
    <w:p w14:paraId="3FC3FA6E" w14:textId="77777777" w:rsidR="00F653C8" w:rsidRPr="00082F7B" w:rsidRDefault="00F653C8" w:rsidP="00F653C8">
      <w:pPr>
        <w:spacing w:after="0" w:line="100" w:lineRule="atLeast"/>
        <w:jc w:val="center"/>
        <w:rPr>
          <w:rFonts w:asciiTheme="majorHAnsi" w:hAnsiTheme="majorHAnsi" w:cstheme="minorHAnsi"/>
          <w:b/>
          <w:sz w:val="24"/>
          <w:szCs w:val="24"/>
        </w:rPr>
      </w:pPr>
      <w:r w:rsidRPr="00082F7B">
        <w:rPr>
          <w:rFonts w:asciiTheme="majorHAnsi" w:hAnsiTheme="majorHAnsi" w:cstheme="minorHAnsi"/>
          <w:b/>
          <w:sz w:val="24"/>
          <w:szCs w:val="24"/>
        </w:rPr>
        <w:t>K O N C E S I O N I   A K T</w:t>
      </w:r>
    </w:p>
    <w:p w14:paraId="13A98EC1" w14:textId="6FA026C7" w:rsidR="00F653C8" w:rsidRPr="00082F7B" w:rsidRDefault="00F653C8" w:rsidP="00082F7B">
      <w:pPr>
        <w:spacing w:after="0" w:line="100" w:lineRule="atLeast"/>
        <w:jc w:val="center"/>
        <w:rPr>
          <w:rFonts w:asciiTheme="majorHAnsi" w:hAnsiTheme="majorHAnsi" w:cstheme="minorHAnsi"/>
          <w:b/>
          <w:sz w:val="24"/>
          <w:szCs w:val="24"/>
        </w:rPr>
      </w:pPr>
      <w:r w:rsidRPr="00082F7B">
        <w:rPr>
          <w:rFonts w:asciiTheme="majorHAnsi" w:hAnsiTheme="majorHAnsi" w:cstheme="minorHAnsi"/>
          <w:b/>
          <w:sz w:val="24"/>
          <w:szCs w:val="24"/>
        </w:rPr>
        <w:t>o  mineralnoj sirovini tehničko-građevinskog kamena (krečnjak) ležišta “Štitarica-Taskavac”, opština Mojkovac</w:t>
      </w:r>
    </w:p>
    <w:p w14:paraId="6AD63F7A" w14:textId="77777777" w:rsidR="00F653C8" w:rsidRPr="00082F7B" w:rsidRDefault="00F653C8" w:rsidP="00F653C8">
      <w:pPr>
        <w:spacing w:after="0" w:line="100" w:lineRule="atLeast"/>
        <w:jc w:val="center"/>
        <w:rPr>
          <w:rFonts w:asciiTheme="majorHAnsi" w:hAnsiTheme="majorHAnsi" w:cstheme="minorHAnsi"/>
          <w:b/>
          <w:sz w:val="24"/>
          <w:szCs w:val="24"/>
        </w:rPr>
      </w:pPr>
    </w:p>
    <w:p w14:paraId="288CB527" w14:textId="77777777" w:rsidR="00F653C8" w:rsidRPr="00082F7B" w:rsidRDefault="00F653C8" w:rsidP="00082F7B">
      <w:pPr>
        <w:spacing w:after="0" w:line="100" w:lineRule="atLeast"/>
        <w:rPr>
          <w:rFonts w:asciiTheme="majorHAnsi" w:hAnsiTheme="majorHAnsi" w:cstheme="minorHAnsi"/>
          <w:b/>
          <w:sz w:val="24"/>
          <w:szCs w:val="24"/>
        </w:rPr>
      </w:pPr>
    </w:p>
    <w:p w14:paraId="390E5A0E" w14:textId="77777777" w:rsidR="00F653C8" w:rsidRPr="00082F7B" w:rsidRDefault="00F653C8" w:rsidP="00F653C8">
      <w:pPr>
        <w:spacing w:after="0" w:line="100" w:lineRule="atLeast"/>
        <w:jc w:val="center"/>
        <w:rPr>
          <w:rFonts w:asciiTheme="majorHAnsi" w:hAnsiTheme="majorHAnsi" w:cstheme="minorHAnsi"/>
          <w:b/>
          <w:sz w:val="24"/>
          <w:szCs w:val="24"/>
        </w:rPr>
      </w:pPr>
    </w:p>
    <w:p w14:paraId="76A1B076" w14:textId="77777777" w:rsidR="00F653C8" w:rsidRPr="00082F7B" w:rsidRDefault="00F653C8"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 xml:space="preserve">                                                                                                                                 M I N I S T A R</w:t>
      </w:r>
    </w:p>
    <w:p w14:paraId="33FB95DB" w14:textId="77777777" w:rsidR="00F653C8" w:rsidRPr="00082F7B" w:rsidRDefault="00F653C8"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 xml:space="preserve">                                                                                                          </w:t>
      </w:r>
    </w:p>
    <w:p w14:paraId="776DDB74" w14:textId="63586612" w:rsidR="00F653C8" w:rsidRPr="00082F7B" w:rsidRDefault="00F653C8"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 xml:space="preserve">                                                                                                                             dr Vladimir Kavarić</w:t>
      </w:r>
    </w:p>
    <w:p w14:paraId="4C88DE03"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Autori Koncesionog akta:</w:t>
      </w:r>
    </w:p>
    <w:p w14:paraId="39B9F015" w14:textId="77777777" w:rsidR="00F653C8" w:rsidRPr="00082F7B" w:rsidRDefault="00F653C8" w:rsidP="00CC506B">
      <w:pPr>
        <w:spacing w:after="0" w:line="100" w:lineRule="atLeast"/>
        <w:jc w:val="both"/>
        <w:rPr>
          <w:rFonts w:asciiTheme="majorHAnsi" w:hAnsiTheme="majorHAnsi" w:cstheme="minorHAnsi"/>
          <w:b/>
          <w:sz w:val="24"/>
          <w:szCs w:val="24"/>
        </w:rPr>
      </w:pPr>
    </w:p>
    <w:p w14:paraId="2D3C2B0C"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Vesna Vujačić, dipl.inž.geologije</w:t>
      </w:r>
    </w:p>
    <w:p w14:paraId="784C47E5"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mr Vladan Dubljević, dipl.inž.geologije</w:t>
      </w:r>
    </w:p>
    <w:p w14:paraId="216F028C"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Nebojša Koprivica, dipl.inž.geologije</w:t>
      </w:r>
    </w:p>
    <w:p w14:paraId="3AC16D22"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Goran Vušović, dipl.inž.geologije</w:t>
      </w:r>
    </w:p>
    <w:p w14:paraId="298474A4"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Ljiljana Maksimović, dipl.inž.rudarstva</w:t>
      </w:r>
    </w:p>
    <w:p w14:paraId="597B6F66"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Radosav Čović, dipl.pravnik</w:t>
      </w:r>
    </w:p>
    <w:p w14:paraId="08FFB41D" w14:textId="77777777" w:rsidR="00CC506B" w:rsidRDefault="00CC506B" w:rsidP="00F653C8">
      <w:pPr>
        <w:spacing w:after="0" w:line="100" w:lineRule="atLeast"/>
        <w:rPr>
          <w:rFonts w:asciiTheme="majorHAnsi" w:hAnsiTheme="majorHAnsi" w:cstheme="minorHAnsi"/>
          <w:b/>
          <w:sz w:val="24"/>
          <w:szCs w:val="24"/>
        </w:rPr>
      </w:pPr>
    </w:p>
    <w:p w14:paraId="6DFC976D" w14:textId="77777777" w:rsidR="00082F7B" w:rsidRPr="00082F7B" w:rsidRDefault="00082F7B" w:rsidP="00F653C8">
      <w:pPr>
        <w:spacing w:after="0" w:line="100" w:lineRule="atLeast"/>
        <w:rPr>
          <w:rFonts w:asciiTheme="majorHAnsi" w:hAnsiTheme="majorHAnsi" w:cstheme="minorHAnsi"/>
          <w:b/>
          <w:sz w:val="24"/>
          <w:szCs w:val="24"/>
        </w:rPr>
      </w:pPr>
    </w:p>
    <w:p w14:paraId="54AD715C" w14:textId="77777777" w:rsidR="00CC506B" w:rsidRPr="00082F7B" w:rsidRDefault="00CC506B" w:rsidP="00F653C8">
      <w:pPr>
        <w:spacing w:after="0" w:line="100" w:lineRule="atLeast"/>
        <w:rPr>
          <w:rFonts w:asciiTheme="majorHAnsi" w:hAnsiTheme="majorHAnsi" w:cstheme="minorHAnsi"/>
          <w:b/>
          <w:sz w:val="24"/>
          <w:szCs w:val="24"/>
        </w:rPr>
      </w:pPr>
    </w:p>
    <w:p w14:paraId="250D6EB6" w14:textId="77777777" w:rsidR="00F653C8" w:rsidRPr="00082F7B" w:rsidRDefault="00F653C8" w:rsidP="00F653C8">
      <w:pPr>
        <w:spacing w:after="0" w:line="100" w:lineRule="atLeast"/>
        <w:rPr>
          <w:rFonts w:asciiTheme="majorHAnsi" w:hAnsiTheme="majorHAnsi" w:cstheme="minorHAnsi"/>
          <w:b/>
          <w:sz w:val="24"/>
          <w:szCs w:val="24"/>
        </w:rPr>
      </w:pPr>
      <w:r w:rsidRPr="00082F7B">
        <w:rPr>
          <w:rFonts w:asciiTheme="majorHAnsi" w:hAnsiTheme="majorHAnsi" w:cstheme="minorHAnsi"/>
          <w:b/>
          <w:sz w:val="24"/>
          <w:szCs w:val="24"/>
        </w:rPr>
        <w:t xml:space="preserve">                    </w:t>
      </w:r>
    </w:p>
    <w:p w14:paraId="0F5D0267" w14:textId="1CE2B270" w:rsidR="00F653C8" w:rsidRPr="00082F7B" w:rsidRDefault="00F653C8" w:rsidP="00CC506B">
      <w:pPr>
        <w:spacing w:after="0" w:line="100" w:lineRule="atLeast"/>
        <w:jc w:val="center"/>
        <w:rPr>
          <w:rFonts w:asciiTheme="majorHAnsi" w:hAnsiTheme="majorHAnsi" w:cstheme="minorHAnsi"/>
          <w:b/>
          <w:sz w:val="24"/>
          <w:szCs w:val="24"/>
        </w:rPr>
      </w:pPr>
      <w:r w:rsidRPr="00082F7B">
        <w:rPr>
          <w:rFonts w:asciiTheme="majorHAnsi" w:hAnsiTheme="majorHAnsi" w:cstheme="minorHAnsi"/>
          <w:b/>
          <w:sz w:val="24"/>
          <w:szCs w:val="24"/>
        </w:rPr>
        <w:t>OPŠTI PODACI O KONCESIONOM AKTU</w:t>
      </w:r>
    </w:p>
    <w:p w14:paraId="7E31EB6D" w14:textId="77777777" w:rsidR="00F653C8" w:rsidRPr="00082F7B" w:rsidRDefault="00F653C8" w:rsidP="00F653C8">
      <w:pPr>
        <w:spacing w:after="0" w:line="100" w:lineRule="atLeast"/>
        <w:rPr>
          <w:rFonts w:asciiTheme="majorHAnsi" w:hAnsiTheme="majorHAnsi" w:cstheme="minorHAnsi"/>
          <w:b/>
          <w:sz w:val="24"/>
          <w:szCs w:val="24"/>
        </w:rPr>
      </w:pPr>
    </w:p>
    <w:p w14:paraId="5C21B5C6" w14:textId="77777777" w:rsidR="00F653C8" w:rsidRPr="00082F7B" w:rsidRDefault="00F653C8" w:rsidP="00F653C8">
      <w:pPr>
        <w:spacing w:after="0" w:line="100" w:lineRule="atLeast"/>
        <w:rPr>
          <w:rFonts w:asciiTheme="majorHAnsi" w:hAnsiTheme="majorHAnsi" w:cstheme="minorHAnsi"/>
          <w:b/>
          <w:sz w:val="24"/>
          <w:szCs w:val="24"/>
        </w:rPr>
      </w:pPr>
    </w:p>
    <w:p w14:paraId="14474C77"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Naziv Koncesionog akta:</w:t>
      </w:r>
    </w:p>
    <w:p w14:paraId="0E4D3B6A" w14:textId="77777777" w:rsidR="00F653C8" w:rsidRPr="00082F7B" w:rsidRDefault="00F653C8" w:rsidP="00CC506B">
      <w:pPr>
        <w:spacing w:after="0" w:line="100" w:lineRule="atLeast"/>
        <w:jc w:val="both"/>
        <w:rPr>
          <w:rFonts w:asciiTheme="majorHAnsi" w:hAnsiTheme="majorHAnsi" w:cstheme="minorHAnsi"/>
          <w:b/>
          <w:sz w:val="24"/>
          <w:szCs w:val="24"/>
        </w:rPr>
      </w:pPr>
    </w:p>
    <w:p w14:paraId="43ECFE3D" w14:textId="77777777" w:rsidR="00F653C8" w:rsidRPr="00082F7B" w:rsidRDefault="00F653C8" w:rsidP="00CC506B">
      <w:p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Koncesioni akt o  mineralnoj sirovini tehničko-građevinskog kamena</w:t>
      </w:r>
      <w:r w:rsidR="00B96FE9" w:rsidRPr="00082F7B">
        <w:rPr>
          <w:rFonts w:asciiTheme="majorHAnsi" w:hAnsiTheme="majorHAnsi" w:cstheme="minorHAnsi"/>
          <w:sz w:val="24"/>
          <w:szCs w:val="24"/>
        </w:rPr>
        <w:t>(krečnjak)  ležišta “Štitarica-Taskavac”, opština Mojkovac</w:t>
      </w:r>
      <w:r w:rsidRPr="00082F7B">
        <w:rPr>
          <w:rFonts w:asciiTheme="majorHAnsi" w:hAnsiTheme="majorHAnsi" w:cstheme="minorHAnsi"/>
          <w:sz w:val="24"/>
          <w:szCs w:val="24"/>
        </w:rPr>
        <w:t>.</w:t>
      </w:r>
    </w:p>
    <w:p w14:paraId="75E254DB" w14:textId="77777777" w:rsidR="00F653C8" w:rsidRPr="00082F7B" w:rsidRDefault="00F653C8" w:rsidP="00CC506B">
      <w:pPr>
        <w:spacing w:after="0" w:line="100" w:lineRule="atLeast"/>
        <w:jc w:val="both"/>
        <w:rPr>
          <w:rFonts w:asciiTheme="majorHAnsi" w:hAnsiTheme="majorHAnsi" w:cstheme="minorHAnsi"/>
          <w:sz w:val="24"/>
          <w:szCs w:val="24"/>
        </w:rPr>
      </w:pPr>
    </w:p>
    <w:p w14:paraId="06DE4894"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Naručilac izrade Koncesionog akta:</w:t>
      </w:r>
    </w:p>
    <w:p w14:paraId="1893025A" w14:textId="77777777" w:rsidR="00F653C8" w:rsidRPr="00082F7B" w:rsidRDefault="00F653C8" w:rsidP="00CC506B">
      <w:pPr>
        <w:spacing w:after="0" w:line="100" w:lineRule="atLeast"/>
        <w:jc w:val="both"/>
        <w:rPr>
          <w:rFonts w:asciiTheme="majorHAnsi" w:hAnsiTheme="majorHAnsi" w:cstheme="minorHAnsi"/>
          <w:b/>
          <w:sz w:val="24"/>
          <w:szCs w:val="24"/>
        </w:rPr>
      </w:pPr>
    </w:p>
    <w:p w14:paraId="5ACDED18" w14:textId="77777777" w:rsidR="00F653C8" w:rsidRPr="00082F7B" w:rsidRDefault="00F653C8" w:rsidP="00CC506B">
      <w:p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Izrada Koncesionog akta izvršena je na osnovu inicijative AD „Crnagoraput“ – Podgorica, br. 05-831 od 04.02.2015. godine, zavedene u arhivi Ministarstva ekonomije pod brojem: 07-356/1 od 11.02.2015. godine, za davanje koncesije za eksploataciju tehničko-građevinsk</w:t>
      </w:r>
      <w:r w:rsidR="00B96FE9" w:rsidRPr="00082F7B">
        <w:rPr>
          <w:rFonts w:asciiTheme="majorHAnsi" w:hAnsiTheme="majorHAnsi" w:cstheme="minorHAnsi"/>
          <w:sz w:val="24"/>
          <w:szCs w:val="24"/>
        </w:rPr>
        <w:t>og kamena (</w:t>
      </w:r>
      <w:r w:rsidRPr="00082F7B">
        <w:rPr>
          <w:rFonts w:asciiTheme="majorHAnsi" w:hAnsiTheme="majorHAnsi" w:cstheme="minorHAnsi"/>
          <w:sz w:val="24"/>
          <w:szCs w:val="24"/>
        </w:rPr>
        <w:t>krečnjaka) na ležištu “Štitarica-Taskavac”, opština Mojkovac.</w:t>
      </w:r>
    </w:p>
    <w:p w14:paraId="290D869D" w14:textId="77777777" w:rsidR="00F653C8" w:rsidRPr="00082F7B" w:rsidRDefault="00F653C8" w:rsidP="00CC506B">
      <w:pPr>
        <w:spacing w:after="0" w:line="100" w:lineRule="atLeast"/>
        <w:jc w:val="both"/>
        <w:rPr>
          <w:rFonts w:asciiTheme="majorHAnsi" w:hAnsiTheme="majorHAnsi" w:cstheme="minorHAnsi"/>
          <w:sz w:val="24"/>
          <w:szCs w:val="24"/>
        </w:rPr>
      </w:pPr>
    </w:p>
    <w:p w14:paraId="06F20729"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Izrada Koncesionog akta:</w:t>
      </w:r>
    </w:p>
    <w:p w14:paraId="0E09665F" w14:textId="77777777" w:rsidR="00F653C8" w:rsidRPr="00082F7B" w:rsidRDefault="00F653C8" w:rsidP="00CC506B">
      <w:pPr>
        <w:spacing w:after="0" w:line="100" w:lineRule="atLeast"/>
        <w:jc w:val="both"/>
        <w:rPr>
          <w:rFonts w:asciiTheme="majorHAnsi" w:hAnsiTheme="majorHAnsi" w:cstheme="minorHAnsi"/>
          <w:b/>
          <w:sz w:val="24"/>
          <w:szCs w:val="24"/>
        </w:rPr>
      </w:pPr>
    </w:p>
    <w:p w14:paraId="19A90003" w14:textId="77777777" w:rsidR="00F653C8" w:rsidRPr="00082F7B" w:rsidRDefault="00F653C8" w:rsidP="00CC506B">
      <w:p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 xml:space="preserve">Koncesioni akt je uradilo Ministarstvo ekonomije preko Radne grupe za izradu Koncesionog akta za davanje koncesije za eksploataciju mineralne sirovine tehničko-građevinskog kamena </w:t>
      </w:r>
      <w:r w:rsidR="000006FE" w:rsidRPr="00082F7B">
        <w:rPr>
          <w:rFonts w:asciiTheme="majorHAnsi" w:hAnsiTheme="majorHAnsi" w:cstheme="minorHAnsi"/>
          <w:sz w:val="24"/>
          <w:szCs w:val="24"/>
        </w:rPr>
        <w:t xml:space="preserve">(krečnjak) </w:t>
      </w:r>
      <w:r w:rsidRPr="00082F7B">
        <w:rPr>
          <w:rFonts w:asciiTheme="majorHAnsi" w:hAnsiTheme="majorHAnsi" w:cstheme="minorHAnsi"/>
          <w:sz w:val="24"/>
          <w:szCs w:val="24"/>
        </w:rPr>
        <w:t>iz ležišta „Štitarica-Taskavac“, opština Mojkovac, koju je formiralo Rješenjem, broj: 01-356/8 od 25.09.2015. godine.</w:t>
      </w:r>
    </w:p>
    <w:p w14:paraId="03724118" w14:textId="77777777" w:rsidR="00F653C8" w:rsidRPr="00082F7B" w:rsidRDefault="00F653C8" w:rsidP="00CC506B">
      <w:pPr>
        <w:spacing w:after="0" w:line="100" w:lineRule="atLeast"/>
        <w:jc w:val="both"/>
        <w:rPr>
          <w:rFonts w:asciiTheme="majorHAnsi" w:hAnsiTheme="majorHAnsi" w:cstheme="minorHAnsi"/>
          <w:sz w:val="24"/>
          <w:szCs w:val="24"/>
        </w:rPr>
      </w:pPr>
    </w:p>
    <w:p w14:paraId="5137EC91"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Autori Koncesionog akta:</w:t>
      </w:r>
    </w:p>
    <w:p w14:paraId="697B4F04" w14:textId="77777777" w:rsidR="00F653C8" w:rsidRPr="00082F7B" w:rsidRDefault="00F653C8" w:rsidP="00CC506B">
      <w:pPr>
        <w:spacing w:after="0" w:line="100" w:lineRule="atLeast"/>
        <w:jc w:val="both"/>
        <w:rPr>
          <w:rFonts w:asciiTheme="majorHAnsi" w:hAnsiTheme="majorHAnsi" w:cstheme="minorHAnsi"/>
          <w:b/>
          <w:sz w:val="24"/>
          <w:szCs w:val="24"/>
        </w:rPr>
      </w:pPr>
    </w:p>
    <w:p w14:paraId="3A932C36"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Vesna Vujačić, dipl.inž.geologije</w:t>
      </w:r>
    </w:p>
    <w:p w14:paraId="3B13F2B4"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mr Vladan Dubljević, dipl.inž.geologije</w:t>
      </w:r>
    </w:p>
    <w:p w14:paraId="0752AA20"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Nebojša Koprivica, dipl.inž.geologije</w:t>
      </w:r>
    </w:p>
    <w:p w14:paraId="09555316"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Goran Vušović, dipl.inž.geologije</w:t>
      </w:r>
    </w:p>
    <w:p w14:paraId="29613515"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Ljiljana Maksimović, dipl.inž.rudarstva</w:t>
      </w:r>
    </w:p>
    <w:p w14:paraId="113E220D"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Radosav Čović, dipl.pravnik</w:t>
      </w:r>
    </w:p>
    <w:p w14:paraId="17AD01C6" w14:textId="77777777" w:rsidR="00F653C8" w:rsidRPr="00082F7B" w:rsidRDefault="00F653C8" w:rsidP="00CC506B">
      <w:pPr>
        <w:spacing w:after="0" w:line="100" w:lineRule="atLeast"/>
        <w:jc w:val="both"/>
        <w:rPr>
          <w:rFonts w:asciiTheme="majorHAnsi" w:hAnsiTheme="majorHAnsi" w:cstheme="minorHAnsi"/>
          <w:sz w:val="24"/>
          <w:szCs w:val="24"/>
        </w:rPr>
      </w:pPr>
    </w:p>
    <w:p w14:paraId="6329D37B"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Troškovi izrade Koncesionog akta:</w:t>
      </w:r>
    </w:p>
    <w:p w14:paraId="56A30B9F" w14:textId="77777777" w:rsidR="00F653C8" w:rsidRPr="00082F7B" w:rsidRDefault="00F653C8" w:rsidP="00CC506B">
      <w:pPr>
        <w:spacing w:after="0" w:line="100" w:lineRule="atLeast"/>
        <w:jc w:val="both"/>
        <w:rPr>
          <w:rFonts w:asciiTheme="majorHAnsi" w:hAnsiTheme="majorHAnsi" w:cstheme="minorHAnsi"/>
          <w:b/>
          <w:sz w:val="24"/>
          <w:szCs w:val="24"/>
        </w:rPr>
      </w:pPr>
    </w:p>
    <w:p w14:paraId="4801A8DB" w14:textId="77777777" w:rsidR="00F653C8" w:rsidRPr="00082F7B" w:rsidRDefault="00F653C8" w:rsidP="00CC506B">
      <w:p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Troškove izrade Koncesionog akta snosi podnosilac inicijative AD „Crnagoraput“ – Podgorica, u skladu sa članom 41 stav 3 Zakona o koncesijama (“Sl. list CG”, br. 08/09).</w:t>
      </w:r>
    </w:p>
    <w:p w14:paraId="02B7A816" w14:textId="77777777" w:rsidR="00F653C8" w:rsidRPr="00082F7B" w:rsidRDefault="00F653C8" w:rsidP="00CC506B">
      <w:pPr>
        <w:spacing w:after="0" w:line="100" w:lineRule="atLeast"/>
        <w:jc w:val="both"/>
        <w:rPr>
          <w:rFonts w:asciiTheme="majorHAnsi" w:hAnsiTheme="majorHAnsi" w:cstheme="minorHAnsi"/>
          <w:sz w:val="24"/>
          <w:szCs w:val="24"/>
        </w:rPr>
      </w:pPr>
    </w:p>
    <w:p w14:paraId="5AB81541" w14:textId="77777777" w:rsidR="00F653C8" w:rsidRPr="00082F7B" w:rsidRDefault="00F653C8" w:rsidP="00CC506B">
      <w:p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Koncesioni akt je urađen u skladu sa čl. 9, 17 i 19 Zakona o koncesijama („Sl. list CG“, br. 08/09).</w:t>
      </w:r>
    </w:p>
    <w:p w14:paraId="63144078" w14:textId="77777777" w:rsidR="00F653C8" w:rsidRPr="00082F7B" w:rsidRDefault="00F653C8" w:rsidP="00CC506B">
      <w:pPr>
        <w:spacing w:after="0" w:line="100" w:lineRule="atLeast"/>
        <w:jc w:val="both"/>
        <w:rPr>
          <w:rFonts w:asciiTheme="majorHAnsi" w:hAnsiTheme="majorHAnsi" w:cstheme="minorHAnsi"/>
          <w:b/>
          <w:sz w:val="24"/>
          <w:szCs w:val="24"/>
        </w:rPr>
      </w:pPr>
    </w:p>
    <w:p w14:paraId="1AFA34FB"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Izvori podataka za izradu Koncesionog akta:</w:t>
      </w:r>
    </w:p>
    <w:p w14:paraId="0BCF3E8E" w14:textId="77777777" w:rsidR="00F653C8" w:rsidRPr="00082F7B" w:rsidRDefault="00F653C8" w:rsidP="00CC506B">
      <w:pPr>
        <w:spacing w:after="0" w:line="100" w:lineRule="atLeast"/>
        <w:jc w:val="both"/>
        <w:rPr>
          <w:rFonts w:asciiTheme="majorHAnsi" w:hAnsiTheme="majorHAnsi" w:cstheme="minorHAnsi"/>
          <w:b/>
          <w:sz w:val="24"/>
          <w:szCs w:val="24"/>
        </w:rPr>
      </w:pPr>
    </w:p>
    <w:p w14:paraId="289F77FF"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Izvještaj Komisije, br. 07-356/3 od 19.03.2015. godine, za ocjenu inicijative za pokretanje postupka davanja koncesije za eksploataciju mineralne sirovine tehničko-građevinskog kamena (krečnjaka)  na ležištu “Štitarica-Taskavac”, opština Mojkovac;</w:t>
      </w:r>
    </w:p>
    <w:p w14:paraId="08CB4423"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Raspoloživa geološka i rudarska dokumentacija Ministarstva ekonomije;</w:t>
      </w:r>
    </w:p>
    <w:p w14:paraId="7901A5AA"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Podaci Uprave za nekretnine Crne Gore, Područna jedinica Mojkovac;</w:t>
      </w:r>
    </w:p>
    <w:p w14:paraId="4F3D5861"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Izvod iz Prostorno-urbanističkog plana Crne Gore Opštine Mojkovac;</w:t>
      </w:r>
    </w:p>
    <w:p w14:paraId="7F74512F"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Akt S</w:t>
      </w:r>
      <w:r w:rsidR="001A5654" w:rsidRPr="00082F7B">
        <w:rPr>
          <w:rFonts w:asciiTheme="majorHAnsi" w:hAnsiTheme="majorHAnsi" w:cstheme="minorHAnsi"/>
          <w:sz w:val="24"/>
          <w:szCs w:val="24"/>
        </w:rPr>
        <w:t>ekretarijata za uređenje prostora I održivi razvoj</w:t>
      </w:r>
      <w:r w:rsidRPr="00082F7B">
        <w:rPr>
          <w:rFonts w:asciiTheme="majorHAnsi" w:hAnsiTheme="majorHAnsi" w:cstheme="minorHAnsi"/>
          <w:sz w:val="24"/>
          <w:szCs w:val="24"/>
        </w:rPr>
        <w:t xml:space="preserve"> Opšti</w:t>
      </w:r>
      <w:r w:rsidR="001A5654" w:rsidRPr="00082F7B">
        <w:rPr>
          <w:rFonts w:asciiTheme="majorHAnsi" w:hAnsiTheme="majorHAnsi" w:cstheme="minorHAnsi"/>
          <w:sz w:val="24"/>
          <w:szCs w:val="24"/>
        </w:rPr>
        <w:t xml:space="preserve">ne Mojkovac,  br. 09-2/230-1910 </w:t>
      </w:r>
      <w:r w:rsidRPr="00082F7B">
        <w:rPr>
          <w:rFonts w:asciiTheme="majorHAnsi" w:hAnsiTheme="majorHAnsi" w:cstheme="minorHAnsi"/>
          <w:sz w:val="24"/>
          <w:szCs w:val="24"/>
        </w:rPr>
        <w:t xml:space="preserve"> od 10.12.2014. godine, o namjeni površina na koj</w:t>
      </w:r>
      <w:r w:rsidR="001A5654" w:rsidRPr="00082F7B">
        <w:rPr>
          <w:rFonts w:asciiTheme="majorHAnsi" w:hAnsiTheme="majorHAnsi" w:cstheme="minorHAnsi"/>
          <w:sz w:val="24"/>
          <w:szCs w:val="24"/>
        </w:rPr>
        <w:t>ima se nalazi ležište “Štitarica-Taskavac</w:t>
      </w:r>
      <w:r w:rsidRPr="00082F7B">
        <w:rPr>
          <w:rFonts w:asciiTheme="majorHAnsi" w:hAnsiTheme="majorHAnsi" w:cstheme="minorHAnsi"/>
          <w:sz w:val="24"/>
          <w:szCs w:val="24"/>
        </w:rPr>
        <w:t>”;</w:t>
      </w:r>
    </w:p>
    <w:p w14:paraId="2C5B7103" w14:textId="77777777" w:rsidR="009474E6" w:rsidRPr="00082F7B" w:rsidRDefault="009474E6"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 xml:space="preserve">Podaci Zavoda za statistiku, </w:t>
      </w:r>
      <w:r w:rsidRPr="00082F7B">
        <w:rPr>
          <w:rFonts w:asciiTheme="majorHAnsi" w:hAnsiTheme="majorHAnsi" w:cstheme="minorHAnsi"/>
          <w:sz w:val="24"/>
          <w:szCs w:val="24"/>
          <w:lang w:val="pl-PL"/>
        </w:rPr>
        <w:t>akt broj: 12-375/2 od 17.02.2016. godine</w:t>
      </w:r>
      <w:r w:rsidRPr="00082F7B">
        <w:rPr>
          <w:rFonts w:asciiTheme="majorHAnsi" w:hAnsiTheme="majorHAnsi" w:cstheme="minorHAnsi"/>
          <w:sz w:val="24"/>
          <w:szCs w:val="24"/>
        </w:rPr>
        <w:t xml:space="preserve">, o prosječno ostvarenoj cijena proizvoda mineralne sirovine tehničko-građevinskog kamena u Crnoj Gori u 2015. godini;  </w:t>
      </w:r>
    </w:p>
    <w:p w14:paraId="4B0B3A29"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Podaci o ostvarenoj proizvodnji tehničko-građevinskog kamena u Crnoj Gori u 2014. godini;</w:t>
      </w:r>
    </w:p>
    <w:p w14:paraId="08C307F8" w14:textId="77777777" w:rsidR="00F653C8" w:rsidRPr="00082F7B" w:rsidRDefault="00F653C8" w:rsidP="00CC506B">
      <w:pPr>
        <w:numPr>
          <w:ilvl w:val="0"/>
          <w:numId w:val="9"/>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-Podaci o ostvarenim normativima osnovnih materijala i energije na analognim ležištima u Crnoj Gori.</w:t>
      </w:r>
    </w:p>
    <w:p w14:paraId="3D157D1A" w14:textId="77777777" w:rsidR="00F653C8" w:rsidRPr="00082F7B" w:rsidRDefault="00F653C8" w:rsidP="00CC506B">
      <w:pPr>
        <w:spacing w:after="0" w:line="100" w:lineRule="atLeast"/>
        <w:jc w:val="both"/>
        <w:rPr>
          <w:rFonts w:asciiTheme="majorHAnsi" w:hAnsiTheme="majorHAnsi" w:cstheme="minorHAnsi"/>
          <w:sz w:val="24"/>
          <w:szCs w:val="24"/>
        </w:rPr>
      </w:pPr>
    </w:p>
    <w:p w14:paraId="7C6D1746" w14:textId="77777777" w:rsidR="00F653C8" w:rsidRPr="00082F7B" w:rsidRDefault="00F653C8" w:rsidP="00CC506B">
      <w:pPr>
        <w:spacing w:after="0" w:line="100" w:lineRule="atLeast"/>
        <w:jc w:val="both"/>
        <w:rPr>
          <w:rFonts w:asciiTheme="majorHAnsi" w:hAnsiTheme="majorHAnsi" w:cstheme="minorHAnsi"/>
          <w:b/>
          <w:sz w:val="24"/>
          <w:szCs w:val="24"/>
        </w:rPr>
      </w:pPr>
      <w:r w:rsidRPr="00082F7B">
        <w:rPr>
          <w:rFonts w:asciiTheme="majorHAnsi" w:hAnsiTheme="majorHAnsi" w:cstheme="minorHAnsi"/>
          <w:b/>
          <w:sz w:val="24"/>
          <w:szCs w:val="24"/>
        </w:rPr>
        <w:t>Zakonski propisi korišćeni pri izradi Koncesionog akta:</w:t>
      </w:r>
    </w:p>
    <w:p w14:paraId="0022C78D" w14:textId="77777777" w:rsidR="00F653C8" w:rsidRPr="00082F7B" w:rsidRDefault="00F653C8" w:rsidP="00CC506B">
      <w:pPr>
        <w:spacing w:after="0" w:line="100" w:lineRule="atLeast"/>
        <w:jc w:val="both"/>
        <w:rPr>
          <w:rFonts w:asciiTheme="majorHAnsi" w:hAnsiTheme="majorHAnsi" w:cstheme="minorHAnsi"/>
          <w:b/>
          <w:sz w:val="24"/>
          <w:szCs w:val="24"/>
        </w:rPr>
      </w:pPr>
    </w:p>
    <w:p w14:paraId="514E2E15"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Zakon o koncesijama („Sl. list CG“, br. 08/09);</w:t>
      </w:r>
    </w:p>
    <w:p w14:paraId="3F4ACEDF"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Zakon o rudarstvu („Sl. list CG“, br. 65/08, 74/10 i 40/11);</w:t>
      </w:r>
    </w:p>
    <w:p w14:paraId="33EF10D0"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Zakon o geološkim istraživanjima (‘’Sl. list RCG’’, br. 28/93, 27/94, 42/94 i 26/07 i „Sl. list CG“, br. 28/11);</w:t>
      </w:r>
    </w:p>
    <w:p w14:paraId="7564C032"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Zakon o procjeni uticaja na životnu sredinu („Sl. list RCG“, br. 80/05 i „Sl. list CG“, br. 40/10, 73/10, 40/11 i 27/13);</w:t>
      </w:r>
    </w:p>
    <w:p w14:paraId="352E26B1"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Uredba o kriterijumima i načinu obračuna iznosa minimalne koncesione naknade za ustupanje prava na istraživanje i eksploataciju mineralnih sirovina („Sl. list CG“, br. 37/11);</w:t>
      </w:r>
    </w:p>
    <w:p w14:paraId="468F16C3" w14:textId="77777777" w:rsidR="00F653C8" w:rsidRPr="00082F7B" w:rsidRDefault="00F653C8"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Uredba o visini sredstava za sanaciju i rekultivaciju prostora na kojem se izvode rudarski radovi, načinu obračunavanja, plaćanja i korišćenja tih sreds</w:t>
      </w:r>
      <w:r w:rsidR="009474E6" w:rsidRPr="00082F7B">
        <w:rPr>
          <w:rFonts w:asciiTheme="majorHAnsi" w:hAnsiTheme="majorHAnsi" w:cstheme="minorHAnsi"/>
          <w:sz w:val="24"/>
          <w:szCs w:val="24"/>
        </w:rPr>
        <w:t>tava („Sl. list CG“, br. 51/11);</w:t>
      </w:r>
    </w:p>
    <w:p w14:paraId="7A691519" w14:textId="77777777" w:rsidR="009474E6" w:rsidRPr="00082F7B" w:rsidRDefault="009474E6" w:rsidP="00CC506B">
      <w:pPr>
        <w:numPr>
          <w:ilvl w:val="0"/>
          <w:numId w:val="10"/>
        </w:numPr>
        <w:spacing w:after="0" w:line="100" w:lineRule="atLeast"/>
        <w:jc w:val="both"/>
        <w:rPr>
          <w:rFonts w:asciiTheme="majorHAnsi" w:hAnsiTheme="majorHAnsi" w:cstheme="minorHAnsi"/>
          <w:sz w:val="24"/>
          <w:szCs w:val="24"/>
        </w:rPr>
      </w:pPr>
      <w:r w:rsidRPr="00082F7B">
        <w:rPr>
          <w:rFonts w:asciiTheme="majorHAnsi" w:hAnsiTheme="majorHAnsi" w:cstheme="minorHAnsi"/>
          <w:sz w:val="24"/>
          <w:szCs w:val="24"/>
        </w:rPr>
        <w:t>Drugi propisi</w:t>
      </w:r>
    </w:p>
    <w:p w14:paraId="2C5B4D41" w14:textId="77777777" w:rsidR="00F653C8" w:rsidRPr="00082F7B" w:rsidRDefault="00F653C8" w:rsidP="00CC506B">
      <w:pPr>
        <w:spacing w:after="0" w:line="100" w:lineRule="atLeast"/>
        <w:jc w:val="both"/>
        <w:rPr>
          <w:rFonts w:asciiTheme="majorHAnsi" w:hAnsiTheme="majorHAnsi" w:cstheme="minorHAnsi"/>
          <w:sz w:val="24"/>
          <w:szCs w:val="24"/>
        </w:rPr>
      </w:pPr>
    </w:p>
    <w:p w14:paraId="34750997" w14:textId="77777777" w:rsidR="00F653C8" w:rsidRPr="00082F7B" w:rsidRDefault="00F653C8" w:rsidP="00CC506B">
      <w:pPr>
        <w:spacing w:after="0" w:line="100" w:lineRule="atLeast"/>
        <w:jc w:val="both"/>
        <w:rPr>
          <w:rFonts w:asciiTheme="majorHAnsi" w:hAnsiTheme="majorHAnsi" w:cstheme="minorHAnsi"/>
          <w:sz w:val="24"/>
          <w:szCs w:val="24"/>
        </w:rPr>
      </w:pPr>
    </w:p>
    <w:p w14:paraId="08FDC4F1" w14:textId="77777777" w:rsidR="00F653C8" w:rsidRPr="00082F7B" w:rsidRDefault="00F653C8" w:rsidP="00F653C8">
      <w:pPr>
        <w:spacing w:after="0" w:line="100" w:lineRule="atLeast"/>
        <w:jc w:val="both"/>
        <w:rPr>
          <w:rFonts w:asciiTheme="majorHAnsi" w:hAnsiTheme="majorHAnsi" w:cstheme="minorHAnsi"/>
          <w:sz w:val="24"/>
          <w:szCs w:val="24"/>
        </w:rPr>
      </w:pPr>
    </w:p>
    <w:p w14:paraId="0A791849" w14:textId="77777777" w:rsidR="00F653C8" w:rsidRPr="00082F7B" w:rsidRDefault="00F653C8" w:rsidP="00F653C8">
      <w:pPr>
        <w:spacing w:after="0" w:line="100" w:lineRule="atLeast"/>
        <w:jc w:val="both"/>
        <w:rPr>
          <w:rFonts w:asciiTheme="majorHAnsi" w:hAnsiTheme="majorHAnsi" w:cstheme="minorHAnsi"/>
          <w:sz w:val="24"/>
          <w:szCs w:val="24"/>
        </w:rPr>
      </w:pPr>
    </w:p>
    <w:p w14:paraId="62A56DFA" w14:textId="77777777" w:rsidR="00F653C8" w:rsidRPr="00082F7B" w:rsidRDefault="00F653C8" w:rsidP="00F653C8">
      <w:pPr>
        <w:spacing w:after="0" w:line="100" w:lineRule="atLeast"/>
        <w:jc w:val="both"/>
        <w:rPr>
          <w:rFonts w:asciiTheme="majorHAnsi" w:hAnsiTheme="majorHAnsi" w:cstheme="minorHAnsi"/>
          <w:sz w:val="24"/>
          <w:szCs w:val="24"/>
        </w:rPr>
      </w:pPr>
    </w:p>
    <w:p w14:paraId="7F78F844" w14:textId="77777777" w:rsidR="00F653C8" w:rsidRDefault="00F653C8" w:rsidP="00F653C8">
      <w:pPr>
        <w:spacing w:after="0" w:line="100" w:lineRule="atLeast"/>
        <w:jc w:val="both"/>
        <w:rPr>
          <w:rFonts w:asciiTheme="majorHAnsi" w:hAnsiTheme="majorHAnsi" w:cstheme="minorHAnsi"/>
          <w:sz w:val="24"/>
          <w:szCs w:val="24"/>
        </w:rPr>
      </w:pPr>
    </w:p>
    <w:p w14:paraId="112D6B50" w14:textId="77777777" w:rsidR="00541CC3" w:rsidRDefault="00541CC3" w:rsidP="00F653C8">
      <w:pPr>
        <w:spacing w:after="0" w:line="100" w:lineRule="atLeast"/>
        <w:jc w:val="both"/>
        <w:rPr>
          <w:rFonts w:asciiTheme="majorHAnsi" w:hAnsiTheme="majorHAnsi" w:cstheme="minorHAnsi"/>
          <w:sz w:val="24"/>
          <w:szCs w:val="24"/>
        </w:rPr>
      </w:pPr>
    </w:p>
    <w:p w14:paraId="167A9C34" w14:textId="77777777" w:rsidR="00541CC3" w:rsidRDefault="00541CC3" w:rsidP="00F653C8">
      <w:pPr>
        <w:spacing w:after="0" w:line="100" w:lineRule="atLeast"/>
        <w:jc w:val="both"/>
        <w:rPr>
          <w:rFonts w:asciiTheme="majorHAnsi" w:hAnsiTheme="majorHAnsi" w:cstheme="minorHAnsi"/>
          <w:sz w:val="24"/>
          <w:szCs w:val="24"/>
        </w:rPr>
      </w:pPr>
    </w:p>
    <w:p w14:paraId="78C73CF2" w14:textId="77777777" w:rsidR="00541CC3" w:rsidRDefault="00541CC3" w:rsidP="00F653C8">
      <w:pPr>
        <w:spacing w:after="0" w:line="100" w:lineRule="atLeast"/>
        <w:jc w:val="both"/>
        <w:rPr>
          <w:rFonts w:asciiTheme="majorHAnsi" w:hAnsiTheme="majorHAnsi" w:cstheme="minorHAnsi"/>
          <w:sz w:val="24"/>
          <w:szCs w:val="24"/>
        </w:rPr>
      </w:pPr>
    </w:p>
    <w:p w14:paraId="0E7A09C0" w14:textId="77777777" w:rsidR="00541CC3" w:rsidRDefault="00541CC3" w:rsidP="00F653C8">
      <w:pPr>
        <w:spacing w:after="0" w:line="100" w:lineRule="atLeast"/>
        <w:jc w:val="both"/>
        <w:rPr>
          <w:rFonts w:asciiTheme="majorHAnsi" w:hAnsiTheme="majorHAnsi" w:cstheme="minorHAnsi"/>
          <w:sz w:val="24"/>
          <w:szCs w:val="24"/>
        </w:rPr>
      </w:pPr>
    </w:p>
    <w:sdt>
      <w:sdtPr>
        <w:id w:val="217410926"/>
        <w:docPartObj>
          <w:docPartGallery w:val="Table of Contents"/>
          <w:docPartUnique/>
        </w:docPartObj>
      </w:sdtPr>
      <w:sdtEndPr>
        <w:rPr>
          <w:rFonts w:ascii="Calibri" w:eastAsia="Arial Unicode MS" w:hAnsi="Calibri" w:cs="Calibri"/>
          <w:noProof/>
          <w:color w:val="auto"/>
          <w:kern w:val="1"/>
          <w:sz w:val="22"/>
          <w:szCs w:val="22"/>
        </w:rPr>
      </w:sdtEndPr>
      <w:sdtContent>
        <w:p w14:paraId="6148148B" w14:textId="6B780D35" w:rsidR="00541CC3" w:rsidRPr="00541CC3" w:rsidRDefault="00541CC3" w:rsidP="00541CC3">
          <w:pPr>
            <w:pStyle w:val="TOCHeading"/>
            <w:jc w:val="center"/>
            <w:rPr>
              <w:rFonts w:asciiTheme="majorHAnsi" w:hAnsiTheme="majorHAnsi"/>
              <w:sz w:val="20"/>
              <w:szCs w:val="20"/>
            </w:rPr>
          </w:pPr>
          <w:r w:rsidRPr="00541CC3">
            <w:rPr>
              <w:rFonts w:asciiTheme="majorHAnsi" w:hAnsiTheme="majorHAnsi"/>
              <w:sz w:val="20"/>
              <w:szCs w:val="20"/>
            </w:rPr>
            <w:t>SADRŽAJ</w:t>
          </w:r>
        </w:p>
        <w:p w14:paraId="03D7E380"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r w:rsidRPr="00541CC3">
            <w:rPr>
              <w:rFonts w:asciiTheme="majorHAnsi" w:hAnsiTheme="majorHAnsi"/>
              <w:b w:val="0"/>
              <w:sz w:val="20"/>
              <w:szCs w:val="20"/>
            </w:rPr>
            <w:fldChar w:fldCharType="begin"/>
          </w:r>
          <w:r w:rsidRPr="00541CC3">
            <w:rPr>
              <w:rFonts w:asciiTheme="majorHAnsi" w:hAnsiTheme="majorHAnsi"/>
              <w:sz w:val="20"/>
              <w:szCs w:val="20"/>
            </w:rPr>
            <w:instrText xml:space="preserve"> TOC \o "1-3" \h \z \u </w:instrText>
          </w:r>
          <w:r w:rsidRPr="00541CC3">
            <w:rPr>
              <w:rFonts w:asciiTheme="majorHAnsi" w:hAnsiTheme="majorHAnsi"/>
              <w:b w:val="0"/>
              <w:sz w:val="20"/>
              <w:szCs w:val="20"/>
            </w:rPr>
            <w:fldChar w:fldCharType="separate"/>
          </w:r>
          <w:hyperlink w:anchor="_Toc459633511" w:history="1">
            <w:r w:rsidRPr="00541CC3">
              <w:rPr>
                <w:rStyle w:val="Hyperlink"/>
                <w:rFonts w:asciiTheme="majorHAnsi" w:hAnsiTheme="majorHAnsi"/>
                <w:noProof/>
                <w:sz w:val="20"/>
                <w:szCs w:val="20"/>
              </w:rPr>
              <w:t>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Uvod</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7</w:t>
            </w:r>
            <w:r w:rsidRPr="00541CC3">
              <w:rPr>
                <w:rFonts w:asciiTheme="majorHAnsi" w:hAnsiTheme="majorHAnsi"/>
                <w:noProof/>
                <w:webHidden/>
                <w:sz w:val="20"/>
                <w:szCs w:val="20"/>
              </w:rPr>
              <w:fldChar w:fldCharType="end"/>
            </w:r>
          </w:hyperlink>
        </w:p>
        <w:p w14:paraId="0C3F6079"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12" w:history="1">
            <w:r w:rsidRPr="00541CC3">
              <w:rPr>
                <w:rStyle w:val="Hyperlink"/>
                <w:rFonts w:asciiTheme="majorHAnsi" w:hAnsiTheme="majorHAnsi"/>
                <w:noProof/>
                <w:sz w:val="20"/>
                <w:szCs w:val="20"/>
              </w:rPr>
              <w:t>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Tehnički izvještaj o ležištu tehničko-građevinskog kamena “Štitarica-Taskavac”</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8</w:t>
            </w:r>
            <w:r w:rsidRPr="00541CC3">
              <w:rPr>
                <w:rFonts w:asciiTheme="majorHAnsi" w:hAnsiTheme="majorHAnsi"/>
                <w:noProof/>
                <w:webHidden/>
                <w:sz w:val="20"/>
                <w:szCs w:val="20"/>
              </w:rPr>
              <w:fldChar w:fldCharType="end"/>
            </w:r>
          </w:hyperlink>
        </w:p>
        <w:p w14:paraId="7664B38E"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3" w:history="1">
            <w:r w:rsidRPr="00541CC3">
              <w:rPr>
                <w:rStyle w:val="Hyperlink"/>
                <w:rFonts w:asciiTheme="majorHAnsi" w:hAnsiTheme="majorHAnsi"/>
                <w:noProof/>
                <w:sz w:val="20"/>
                <w:szCs w:val="20"/>
              </w:rPr>
              <w:t>2.1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Predmet Koncesionog akta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8</w:t>
            </w:r>
            <w:r w:rsidRPr="00541CC3">
              <w:rPr>
                <w:rFonts w:asciiTheme="majorHAnsi" w:hAnsiTheme="majorHAnsi"/>
                <w:noProof/>
                <w:webHidden/>
                <w:sz w:val="20"/>
                <w:szCs w:val="20"/>
              </w:rPr>
              <w:fldChar w:fldCharType="end"/>
            </w:r>
          </w:hyperlink>
        </w:p>
        <w:p w14:paraId="1049583C"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4" w:history="1">
            <w:r w:rsidRPr="00541CC3">
              <w:rPr>
                <w:rStyle w:val="Hyperlink"/>
                <w:rFonts w:asciiTheme="majorHAnsi" w:hAnsiTheme="majorHAnsi"/>
                <w:noProof/>
                <w:sz w:val="20"/>
                <w:szCs w:val="20"/>
              </w:rPr>
              <w:t>2.2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Položaj i opis lokacije istražno-eksploatacionog prostora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8</w:t>
            </w:r>
            <w:r w:rsidRPr="00541CC3">
              <w:rPr>
                <w:rFonts w:asciiTheme="majorHAnsi" w:hAnsiTheme="majorHAnsi"/>
                <w:noProof/>
                <w:webHidden/>
                <w:sz w:val="20"/>
                <w:szCs w:val="20"/>
              </w:rPr>
              <w:fldChar w:fldCharType="end"/>
            </w:r>
          </w:hyperlink>
        </w:p>
        <w:p w14:paraId="68CA9CD5"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5" w:history="1">
            <w:r w:rsidRPr="00541CC3">
              <w:rPr>
                <w:rStyle w:val="Hyperlink"/>
                <w:rFonts w:asciiTheme="majorHAnsi" w:hAnsiTheme="majorHAnsi"/>
                <w:noProof/>
                <w:sz w:val="20"/>
                <w:szCs w:val="20"/>
              </w:rPr>
              <w:t>2.3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Morfološko-hidrološke i klimatske prilike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9</w:t>
            </w:r>
            <w:r w:rsidRPr="00541CC3">
              <w:rPr>
                <w:rFonts w:asciiTheme="majorHAnsi" w:hAnsiTheme="majorHAnsi"/>
                <w:noProof/>
                <w:webHidden/>
                <w:sz w:val="20"/>
                <w:szCs w:val="20"/>
              </w:rPr>
              <w:fldChar w:fldCharType="end"/>
            </w:r>
          </w:hyperlink>
        </w:p>
        <w:p w14:paraId="3FEF8992"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6" w:history="1">
            <w:r w:rsidRPr="00541CC3">
              <w:rPr>
                <w:rStyle w:val="Hyperlink"/>
                <w:rFonts w:asciiTheme="majorHAnsi" w:hAnsiTheme="majorHAnsi"/>
                <w:noProof/>
                <w:sz w:val="20"/>
                <w:szCs w:val="20"/>
                <w:lang w:val="sr-Latn-CS"/>
              </w:rPr>
              <w:t>2.4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Podaci o imovinsko-pravnim odnosima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11</w:t>
            </w:r>
            <w:r w:rsidRPr="00541CC3">
              <w:rPr>
                <w:rFonts w:asciiTheme="majorHAnsi" w:hAnsiTheme="majorHAnsi"/>
                <w:noProof/>
                <w:webHidden/>
                <w:sz w:val="20"/>
                <w:szCs w:val="20"/>
              </w:rPr>
              <w:fldChar w:fldCharType="end"/>
            </w:r>
          </w:hyperlink>
        </w:p>
        <w:p w14:paraId="637D78FC"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7" w:history="1">
            <w:r w:rsidRPr="00541CC3">
              <w:rPr>
                <w:rStyle w:val="Hyperlink"/>
                <w:rFonts w:asciiTheme="majorHAnsi" w:hAnsiTheme="majorHAnsi"/>
                <w:noProof/>
                <w:sz w:val="20"/>
                <w:szCs w:val="20"/>
                <w:lang w:val="sr-Latn-CS"/>
              </w:rPr>
              <w:t>2.5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Podaci iz prostorno–urbanističke  dokumentacije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11</w:t>
            </w:r>
            <w:r w:rsidRPr="00541CC3">
              <w:rPr>
                <w:rFonts w:asciiTheme="majorHAnsi" w:hAnsiTheme="majorHAnsi"/>
                <w:noProof/>
                <w:webHidden/>
                <w:sz w:val="20"/>
                <w:szCs w:val="20"/>
              </w:rPr>
              <w:fldChar w:fldCharType="end"/>
            </w:r>
          </w:hyperlink>
        </w:p>
        <w:p w14:paraId="5F97384E"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8" w:history="1">
            <w:r w:rsidRPr="00541CC3">
              <w:rPr>
                <w:rStyle w:val="Hyperlink"/>
                <w:rFonts w:asciiTheme="majorHAnsi" w:hAnsiTheme="majorHAnsi"/>
                <w:noProof/>
                <w:sz w:val="20"/>
                <w:szCs w:val="20"/>
              </w:rPr>
              <w:t>2.6</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Infrastrukturni objekti na istražno-eksplatacionom prostoru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11</w:t>
            </w:r>
            <w:r w:rsidRPr="00541CC3">
              <w:rPr>
                <w:rFonts w:asciiTheme="majorHAnsi" w:hAnsiTheme="majorHAnsi"/>
                <w:noProof/>
                <w:webHidden/>
                <w:sz w:val="20"/>
                <w:szCs w:val="20"/>
              </w:rPr>
              <w:fldChar w:fldCharType="end"/>
            </w:r>
          </w:hyperlink>
        </w:p>
        <w:p w14:paraId="4758039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19" w:history="1">
            <w:r w:rsidRPr="00541CC3">
              <w:rPr>
                <w:rStyle w:val="Hyperlink"/>
                <w:rFonts w:asciiTheme="majorHAnsi" w:hAnsiTheme="majorHAnsi"/>
                <w:noProof/>
                <w:sz w:val="20"/>
                <w:szCs w:val="20"/>
                <w:lang w:val="sr-Latn-CS"/>
              </w:rPr>
              <w:t>2.7</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Tržište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_Toc459633519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12</w:t>
            </w:r>
            <w:r w:rsidRPr="00541CC3">
              <w:rPr>
                <w:rFonts w:asciiTheme="majorHAnsi" w:hAnsiTheme="majorHAnsi"/>
                <w:noProof/>
                <w:webHidden/>
                <w:sz w:val="20"/>
                <w:szCs w:val="20"/>
              </w:rPr>
              <w:fldChar w:fldCharType="end"/>
            </w:r>
          </w:hyperlink>
        </w:p>
        <w:p w14:paraId="168EB05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20" w:history="1">
            <w:r w:rsidRPr="00541CC3">
              <w:rPr>
                <w:rStyle w:val="Hyperlink"/>
                <w:rFonts w:asciiTheme="majorHAnsi" w:hAnsiTheme="majorHAnsi"/>
                <w:noProof/>
                <w:sz w:val="20"/>
                <w:szCs w:val="20"/>
                <w:lang w:val="sr-Latn-CS"/>
              </w:rPr>
              <w:t>2.8</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Podaci o izvršenim geološkim istraživanjima, geološke karakteristike šireg područja  i ležišta  podaci o rezervama i kvalitetu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12</w:t>
            </w:r>
            <w:r w:rsidRPr="00541CC3">
              <w:rPr>
                <w:rFonts w:asciiTheme="majorHAnsi" w:hAnsiTheme="majorHAnsi"/>
                <w:noProof/>
                <w:webHidden/>
                <w:sz w:val="20"/>
                <w:szCs w:val="20"/>
              </w:rPr>
              <w:fldChar w:fldCharType="end"/>
            </w:r>
          </w:hyperlink>
        </w:p>
        <w:p w14:paraId="7B0FD670"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1" w:history="1">
            <w:r w:rsidRPr="00541CC3">
              <w:rPr>
                <w:rStyle w:val="Hyperlink"/>
                <w:rFonts w:asciiTheme="majorHAnsi" w:hAnsiTheme="majorHAnsi"/>
                <w:noProof/>
                <w:sz w:val="20"/>
                <w:szCs w:val="20"/>
                <w:lang w:val="sr-Latn-CS"/>
              </w:rPr>
              <w:t>2.8.1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Podaci o izvršenim geološkim istraživanjima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12</w:t>
            </w:r>
            <w:r w:rsidRPr="00541CC3">
              <w:rPr>
                <w:rFonts w:asciiTheme="majorHAnsi" w:hAnsiTheme="majorHAnsi"/>
                <w:noProof/>
                <w:webHidden/>
                <w:sz w:val="20"/>
                <w:szCs w:val="20"/>
              </w:rPr>
              <w:fldChar w:fldCharType="end"/>
            </w:r>
          </w:hyperlink>
        </w:p>
        <w:p w14:paraId="29A288EA"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2" w:history="1">
            <w:r w:rsidRPr="00541CC3">
              <w:rPr>
                <w:rStyle w:val="Hyperlink"/>
                <w:rFonts w:asciiTheme="majorHAnsi" w:hAnsiTheme="majorHAnsi"/>
                <w:noProof/>
                <w:sz w:val="20"/>
                <w:szCs w:val="20"/>
                <w:lang w:val="sr-Latn-CS"/>
              </w:rPr>
              <w:t>2.8.2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Geološke karakteristike šireg područja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13</w:t>
            </w:r>
            <w:r w:rsidRPr="00541CC3">
              <w:rPr>
                <w:rFonts w:asciiTheme="majorHAnsi" w:hAnsiTheme="majorHAnsi"/>
                <w:noProof/>
                <w:webHidden/>
                <w:sz w:val="20"/>
                <w:szCs w:val="20"/>
              </w:rPr>
              <w:fldChar w:fldCharType="end"/>
            </w:r>
          </w:hyperlink>
        </w:p>
        <w:p w14:paraId="5B6B4728"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3" w:history="1">
            <w:r w:rsidRPr="00541CC3">
              <w:rPr>
                <w:rStyle w:val="Hyperlink"/>
                <w:rFonts w:asciiTheme="majorHAnsi" w:hAnsiTheme="majorHAnsi"/>
                <w:noProof/>
                <w:sz w:val="20"/>
                <w:szCs w:val="20"/>
                <w:lang w:val="sr-Latn-CS"/>
              </w:rPr>
              <w:t>2.8.3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Geološke karakteristike ležišta „Štitarica-Taskavac“</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14</w:t>
            </w:r>
            <w:r w:rsidRPr="00541CC3">
              <w:rPr>
                <w:rFonts w:asciiTheme="majorHAnsi" w:hAnsiTheme="majorHAnsi"/>
                <w:noProof/>
                <w:webHidden/>
                <w:sz w:val="20"/>
                <w:szCs w:val="20"/>
              </w:rPr>
              <w:fldChar w:fldCharType="end"/>
            </w:r>
          </w:hyperlink>
        </w:p>
        <w:p w14:paraId="3D95B4AE"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4" w:history="1">
            <w:r w:rsidRPr="00541CC3">
              <w:rPr>
                <w:rStyle w:val="Hyperlink"/>
                <w:rFonts w:asciiTheme="majorHAnsi" w:hAnsiTheme="majorHAnsi"/>
                <w:noProof/>
                <w:sz w:val="20"/>
                <w:szCs w:val="20"/>
                <w:lang w:val="sr-Latn-CS"/>
              </w:rPr>
              <w:t>2.8.4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Hidrogeološke karakteristike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15</w:t>
            </w:r>
            <w:r w:rsidRPr="00541CC3">
              <w:rPr>
                <w:rFonts w:asciiTheme="majorHAnsi" w:hAnsiTheme="majorHAnsi"/>
                <w:noProof/>
                <w:webHidden/>
                <w:sz w:val="20"/>
                <w:szCs w:val="20"/>
              </w:rPr>
              <w:fldChar w:fldCharType="end"/>
            </w:r>
          </w:hyperlink>
        </w:p>
        <w:p w14:paraId="3341474F"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5" w:history="1">
            <w:r w:rsidRPr="00541CC3">
              <w:rPr>
                <w:rStyle w:val="Hyperlink"/>
                <w:rFonts w:asciiTheme="majorHAnsi" w:hAnsiTheme="majorHAnsi"/>
                <w:noProof/>
                <w:sz w:val="20"/>
                <w:szCs w:val="20"/>
                <w:lang w:val="sr-Latn-CS"/>
              </w:rPr>
              <w:t>2.8.5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Inženjersko-geološke karakteristike ležišta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15</w:t>
            </w:r>
            <w:r w:rsidRPr="00541CC3">
              <w:rPr>
                <w:rFonts w:asciiTheme="majorHAnsi" w:hAnsiTheme="majorHAnsi"/>
                <w:noProof/>
                <w:webHidden/>
                <w:sz w:val="20"/>
                <w:szCs w:val="20"/>
              </w:rPr>
              <w:fldChar w:fldCharType="end"/>
            </w:r>
          </w:hyperlink>
        </w:p>
        <w:p w14:paraId="6A598234"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26" w:history="1">
            <w:r w:rsidRPr="00541CC3">
              <w:rPr>
                <w:rStyle w:val="Hyperlink"/>
                <w:rFonts w:asciiTheme="majorHAnsi" w:hAnsiTheme="majorHAnsi"/>
                <w:noProof/>
                <w:sz w:val="20"/>
                <w:szCs w:val="20"/>
                <w:lang w:val="sr-Latn-CS"/>
              </w:rPr>
              <w:t>2.8.6</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Rezerve i kvalitet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16</w:t>
            </w:r>
            <w:r w:rsidRPr="00541CC3">
              <w:rPr>
                <w:rFonts w:asciiTheme="majorHAnsi" w:hAnsiTheme="majorHAnsi"/>
                <w:noProof/>
                <w:webHidden/>
                <w:sz w:val="20"/>
                <w:szCs w:val="20"/>
              </w:rPr>
              <w:fldChar w:fldCharType="end"/>
            </w:r>
          </w:hyperlink>
        </w:p>
        <w:p w14:paraId="06E5034C"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27" w:history="1">
            <w:r w:rsidRPr="00541CC3">
              <w:rPr>
                <w:rStyle w:val="Hyperlink"/>
                <w:rFonts w:asciiTheme="majorHAnsi" w:hAnsiTheme="majorHAnsi"/>
                <w:noProof/>
                <w:sz w:val="20"/>
                <w:szCs w:val="20"/>
                <w:lang w:val="sr-Latn-CS"/>
              </w:rPr>
              <w:t>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Rok trajanja koncesije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19</w:t>
            </w:r>
            <w:r w:rsidRPr="00541CC3">
              <w:rPr>
                <w:rFonts w:asciiTheme="majorHAnsi" w:hAnsiTheme="majorHAnsi"/>
                <w:noProof/>
                <w:webHidden/>
                <w:sz w:val="20"/>
                <w:szCs w:val="20"/>
              </w:rPr>
              <w:fldChar w:fldCharType="end"/>
            </w:r>
          </w:hyperlink>
        </w:p>
        <w:p w14:paraId="1ABC3E7F"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28" w:history="1">
            <w:r w:rsidRPr="00541CC3">
              <w:rPr>
                <w:rStyle w:val="Hyperlink"/>
                <w:rFonts w:asciiTheme="majorHAnsi" w:hAnsiTheme="majorHAnsi"/>
                <w:noProof/>
                <w:sz w:val="20"/>
                <w:szCs w:val="20"/>
              </w:rPr>
              <w:t>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Osnovni parametri za ocjenu ekonomske opravdanosti investicije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20</w:t>
            </w:r>
            <w:r w:rsidRPr="00541CC3">
              <w:rPr>
                <w:rFonts w:asciiTheme="majorHAnsi" w:hAnsiTheme="majorHAnsi"/>
                <w:noProof/>
                <w:webHidden/>
                <w:sz w:val="20"/>
                <w:szCs w:val="20"/>
              </w:rPr>
              <w:fldChar w:fldCharType="end"/>
            </w:r>
          </w:hyperlink>
        </w:p>
        <w:p w14:paraId="42B6575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29" w:history="1">
            <w:r w:rsidRPr="00541CC3">
              <w:rPr>
                <w:rStyle w:val="Hyperlink"/>
                <w:rFonts w:asciiTheme="majorHAnsi" w:eastAsia="Times New Roman" w:hAnsiTheme="majorHAnsi"/>
                <w:noProof/>
                <w:sz w:val="20"/>
                <w:szCs w:val="20"/>
              </w:rPr>
              <w:t>4.1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Lokacija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_Toc459633529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20</w:t>
            </w:r>
            <w:r w:rsidRPr="00541CC3">
              <w:rPr>
                <w:rFonts w:asciiTheme="majorHAnsi" w:hAnsiTheme="majorHAnsi"/>
                <w:noProof/>
                <w:webHidden/>
                <w:sz w:val="20"/>
                <w:szCs w:val="20"/>
              </w:rPr>
              <w:fldChar w:fldCharType="end"/>
            </w:r>
          </w:hyperlink>
        </w:p>
        <w:p w14:paraId="68419033"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0" w:history="1">
            <w:r w:rsidRPr="00541CC3">
              <w:rPr>
                <w:rStyle w:val="Hyperlink"/>
                <w:rFonts w:asciiTheme="majorHAnsi" w:hAnsiTheme="majorHAnsi"/>
                <w:noProof/>
                <w:sz w:val="20"/>
                <w:szCs w:val="20"/>
              </w:rPr>
              <w:t>4.2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Vrijednost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20</w:t>
            </w:r>
            <w:r w:rsidRPr="00541CC3">
              <w:rPr>
                <w:rFonts w:asciiTheme="majorHAnsi" w:hAnsiTheme="majorHAnsi"/>
                <w:noProof/>
                <w:webHidden/>
                <w:sz w:val="20"/>
                <w:szCs w:val="20"/>
              </w:rPr>
              <w:fldChar w:fldCharType="end"/>
            </w:r>
          </w:hyperlink>
        </w:p>
        <w:p w14:paraId="3645EE70"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1" w:history="1">
            <w:r w:rsidRPr="00541CC3">
              <w:rPr>
                <w:rStyle w:val="Hyperlink"/>
                <w:rFonts w:asciiTheme="majorHAnsi" w:hAnsiTheme="majorHAnsi"/>
                <w:noProof/>
                <w:sz w:val="20"/>
                <w:szCs w:val="20"/>
              </w:rPr>
              <w:t>4.3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Kapacitet površinskog kopa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21</w:t>
            </w:r>
            <w:r w:rsidRPr="00541CC3">
              <w:rPr>
                <w:rFonts w:asciiTheme="majorHAnsi" w:hAnsiTheme="majorHAnsi"/>
                <w:noProof/>
                <w:webHidden/>
                <w:sz w:val="20"/>
                <w:szCs w:val="20"/>
              </w:rPr>
              <w:fldChar w:fldCharType="end"/>
            </w:r>
          </w:hyperlink>
        </w:p>
        <w:p w14:paraId="33D9067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2" w:history="1">
            <w:r w:rsidRPr="00541CC3">
              <w:rPr>
                <w:rStyle w:val="Hyperlink"/>
                <w:rFonts w:asciiTheme="majorHAnsi" w:hAnsiTheme="majorHAnsi"/>
                <w:noProof/>
                <w:sz w:val="20"/>
                <w:szCs w:val="20"/>
              </w:rPr>
              <w:t>4.4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Opis tehničko-tehnološkog procesa eksploatacije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22</w:t>
            </w:r>
            <w:r w:rsidRPr="00541CC3">
              <w:rPr>
                <w:rFonts w:asciiTheme="majorHAnsi" w:hAnsiTheme="majorHAnsi"/>
                <w:noProof/>
                <w:webHidden/>
                <w:sz w:val="20"/>
                <w:szCs w:val="20"/>
              </w:rPr>
              <w:fldChar w:fldCharType="end"/>
            </w:r>
          </w:hyperlink>
        </w:p>
        <w:p w14:paraId="27DA03E2" w14:textId="77777777" w:rsidR="00541CC3" w:rsidRPr="00541CC3" w:rsidRDefault="00541CC3">
          <w:pPr>
            <w:pStyle w:val="TOC2"/>
            <w:tabs>
              <w:tab w:val="left" w:pos="720"/>
              <w:tab w:val="right" w:pos="9350"/>
            </w:tabs>
            <w:rPr>
              <w:rFonts w:asciiTheme="majorHAnsi" w:eastAsiaTheme="minorEastAsia" w:hAnsiTheme="majorHAnsi" w:cstheme="minorBidi"/>
              <w:noProof/>
              <w:kern w:val="0"/>
              <w:sz w:val="20"/>
              <w:szCs w:val="20"/>
            </w:rPr>
          </w:pPr>
          <w:hyperlink w:anchor="_Toc459633533" w:history="1">
            <w:r w:rsidRPr="00541CC3">
              <w:rPr>
                <w:rStyle w:val="Hyperlink"/>
                <w:rFonts w:asciiTheme="majorHAnsi" w:hAnsiTheme="majorHAnsi" w:cstheme="minorHAnsi"/>
                <w:noProof/>
                <w:sz w:val="20"/>
                <w:szCs w:val="20"/>
              </w:rPr>
              <w:t></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cstheme="minorHAnsi"/>
                <w:noProof/>
                <w:sz w:val="20"/>
                <w:szCs w:val="20"/>
              </w:rPr>
              <w:t>Snabdijevanje električnom energijom, gorivom, vodom i eksplozivom i eksplozivnim sredstvima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23</w:t>
            </w:r>
            <w:r w:rsidRPr="00541CC3">
              <w:rPr>
                <w:rFonts w:asciiTheme="majorHAnsi" w:hAnsiTheme="majorHAnsi"/>
                <w:noProof/>
                <w:webHidden/>
                <w:sz w:val="20"/>
                <w:szCs w:val="20"/>
              </w:rPr>
              <w:fldChar w:fldCharType="end"/>
            </w:r>
          </w:hyperlink>
        </w:p>
        <w:p w14:paraId="71D3CA3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4" w:history="1">
            <w:r w:rsidRPr="00541CC3">
              <w:rPr>
                <w:rStyle w:val="Hyperlink"/>
                <w:rFonts w:asciiTheme="majorHAnsi" w:hAnsiTheme="majorHAnsi"/>
                <w:noProof/>
                <w:sz w:val="20"/>
                <w:szCs w:val="20"/>
              </w:rPr>
              <w:t>4.5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Potrebna oprema i objekti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23</w:t>
            </w:r>
            <w:r w:rsidRPr="00541CC3">
              <w:rPr>
                <w:rFonts w:asciiTheme="majorHAnsi" w:hAnsiTheme="majorHAnsi"/>
                <w:noProof/>
                <w:webHidden/>
                <w:sz w:val="20"/>
                <w:szCs w:val="20"/>
              </w:rPr>
              <w:fldChar w:fldCharType="end"/>
            </w:r>
          </w:hyperlink>
        </w:p>
        <w:p w14:paraId="6501AD5E" w14:textId="77777777" w:rsidR="00541CC3" w:rsidRPr="00541CC3" w:rsidRDefault="00541CC3">
          <w:pPr>
            <w:pStyle w:val="TOC2"/>
            <w:tabs>
              <w:tab w:val="left" w:pos="720"/>
              <w:tab w:val="right" w:pos="9350"/>
            </w:tabs>
            <w:rPr>
              <w:rFonts w:asciiTheme="majorHAnsi" w:eastAsiaTheme="minorEastAsia" w:hAnsiTheme="majorHAnsi" w:cstheme="minorBidi"/>
              <w:noProof/>
              <w:kern w:val="0"/>
              <w:sz w:val="20"/>
              <w:szCs w:val="20"/>
            </w:rPr>
          </w:pPr>
          <w:hyperlink w:anchor="_Toc459633535" w:history="1">
            <w:r w:rsidRPr="00541CC3">
              <w:rPr>
                <w:rStyle w:val="Hyperlink"/>
                <w:rFonts w:asciiTheme="majorHAnsi" w:hAnsiTheme="majorHAnsi" w:cstheme="minorHAnsi"/>
                <w:noProof/>
                <w:sz w:val="20"/>
                <w:szCs w:val="20"/>
              </w:rPr>
              <w:t></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cstheme="minorHAnsi"/>
                <w:noProof/>
                <w:sz w:val="20"/>
                <w:szCs w:val="20"/>
              </w:rPr>
              <w:t>Objekti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23</w:t>
            </w:r>
            <w:r w:rsidRPr="00541CC3">
              <w:rPr>
                <w:rFonts w:asciiTheme="majorHAnsi" w:hAnsiTheme="majorHAnsi"/>
                <w:noProof/>
                <w:webHidden/>
                <w:sz w:val="20"/>
                <w:szCs w:val="20"/>
              </w:rPr>
              <w:fldChar w:fldCharType="end"/>
            </w:r>
          </w:hyperlink>
        </w:p>
        <w:p w14:paraId="0C64E610"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6" w:history="1">
            <w:r w:rsidRPr="00541CC3">
              <w:rPr>
                <w:rStyle w:val="Hyperlink"/>
                <w:rFonts w:asciiTheme="majorHAnsi" w:hAnsiTheme="majorHAnsi"/>
                <w:noProof/>
                <w:sz w:val="20"/>
                <w:szCs w:val="20"/>
              </w:rPr>
              <w:t>4.6</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Radna snaga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24</w:t>
            </w:r>
            <w:r w:rsidRPr="00541CC3">
              <w:rPr>
                <w:rFonts w:asciiTheme="majorHAnsi" w:hAnsiTheme="majorHAnsi"/>
                <w:noProof/>
                <w:webHidden/>
                <w:sz w:val="20"/>
                <w:szCs w:val="20"/>
              </w:rPr>
              <w:fldChar w:fldCharType="end"/>
            </w:r>
          </w:hyperlink>
        </w:p>
        <w:p w14:paraId="15DAB16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7" w:history="1">
            <w:r w:rsidRPr="00541CC3">
              <w:rPr>
                <w:rStyle w:val="Hyperlink"/>
                <w:rFonts w:asciiTheme="majorHAnsi" w:hAnsiTheme="majorHAnsi"/>
                <w:noProof/>
                <w:sz w:val="20"/>
                <w:szCs w:val="20"/>
              </w:rPr>
              <w:t>4.7</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Visina sredstava za sanaciju i rekultivaciju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24</w:t>
            </w:r>
            <w:r w:rsidRPr="00541CC3">
              <w:rPr>
                <w:rFonts w:asciiTheme="majorHAnsi" w:hAnsiTheme="majorHAnsi"/>
                <w:noProof/>
                <w:webHidden/>
                <w:sz w:val="20"/>
                <w:szCs w:val="20"/>
              </w:rPr>
              <w:fldChar w:fldCharType="end"/>
            </w:r>
          </w:hyperlink>
        </w:p>
        <w:p w14:paraId="01D4A21A"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38" w:history="1">
            <w:r w:rsidRPr="00541CC3">
              <w:rPr>
                <w:rStyle w:val="Hyperlink"/>
                <w:rFonts w:asciiTheme="majorHAnsi" w:hAnsiTheme="majorHAnsi"/>
                <w:noProof/>
                <w:sz w:val="20"/>
                <w:szCs w:val="20"/>
              </w:rPr>
              <w:t>4.8</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Iznos koncesione naknade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25</w:t>
            </w:r>
            <w:r w:rsidRPr="00541CC3">
              <w:rPr>
                <w:rFonts w:asciiTheme="majorHAnsi" w:hAnsiTheme="majorHAnsi"/>
                <w:noProof/>
                <w:webHidden/>
                <w:sz w:val="20"/>
                <w:szCs w:val="20"/>
              </w:rPr>
              <w:fldChar w:fldCharType="end"/>
            </w:r>
          </w:hyperlink>
        </w:p>
        <w:p w14:paraId="555B5F37"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39" w:history="1">
            <w:r w:rsidRPr="00541CC3">
              <w:rPr>
                <w:rStyle w:val="Hyperlink"/>
                <w:rFonts w:asciiTheme="majorHAnsi" w:hAnsiTheme="majorHAnsi"/>
                <w:noProof/>
                <w:sz w:val="20"/>
                <w:szCs w:val="20"/>
              </w:rPr>
              <w:t>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Mjere za zaštitu životne sredine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_Toc459633539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25</w:t>
            </w:r>
            <w:r w:rsidRPr="00541CC3">
              <w:rPr>
                <w:rFonts w:asciiTheme="majorHAnsi" w:hAnsiTheme="majorHAnsi"/>
                <w:noProof/>
                <w:webHidden/>
                <w:sz w:val="20"/>
                <w:szCs w:val="20"/>
              </w:rPr>
              <w:fldChar w:fldCharType="end"/>
            </w:r>
          </w:hyperlink>
        </w:p>
        <w:p w14:paraId="2D609B6C"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40" w:history="1">
            <w:r w:rsidRPr="00541CC3">
              <w:rPr>
                <w:rStyle w:val="Hyperlink"/>
                <w:rFonts w:asciiTheme="majorHAnsi" w:hAnsiTheme="majorHAnsi"/>
                <w:noProof/>
                <w:sz w:val="20"/>
                <w:szCs w:val="20"/>
                <w:lang w:val="sr-Latn-CS"/>
              </w:rPr>
              <w:t>6</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Rekultivacija istražno-eksploatacionog prostora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26</w:t>
            </w:r>
            <w:r w:rsidRPr="00541CC3">
              <w:rPr>
                <w:rFonts w:asciiTheme="majorHAnsi" w:hAnsiTheme="majorHAnsi"/>
                <w:noProof/>
                <w:webHidden/>
                <w:sz w:val="20"/>
                <w:szCs w:val="20"/>
              </w:rPr>
              <w:fldChar w:fldCharType="end"/>
            </w:r>
          </w:hyperlink>
        </w:p>
        <w:p w14:paraId="6E3751ED"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41" w:history="1">
            <w:r w:rsidRPr="00541CC3">
              <w:rPr>
                <w:rStyle w:val="Hyperlink"/>
                <w:rFonts w:asciiTheme="majorHAnsi" w:hAnsiTheme="majorHAnsi"/>
                <w:noProof/>
                <w:sz w:val="20"/>
                <w:szCs w:val="20"/>
              </w:rPr>
              <w:t>6.1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Zaključak</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27</w:t>
            </w:r>
            <w:r w:rsidRPr="00541CC3">
              <w:rPr>
                <w:rFonts w:asciiTheme="majorHAnsi" w:hAnsiTheme="majorHAnsi"/>
                <w:noProof/>
                <w:webHidden/>
                <w:sz w:val="20"/>
                <w:szCs w:val="20"/>
              </w:rPr>
              <w:fldChar w:fldCharType="end"/>
            </w:r>
          </w:hyperlink>
        </w:p>
        <w:p w14:paraId="5B4EED2D"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42" w:history="1">
            <w:r w:rsidRPr="00541CC3">
              <w:rPr>
                <w:rStyle w:val="Hyperlink"/>
                <w:rFonts w:asciiTheme="majorHAnsi" w:hAnsiTheme="majorHAnsi"/>
                <w:noProof/>
                <w:sz w:val="20"/>
                <w:szCs w:val="20"/>
                <w:lang w:val="sr-Latn-CS"/>
              </w:rPr>
              <w:t>7</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Unaprjeđenje energetske efikasnosti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28</w:t>
            </w:r>
            <w:r w:rsidRPr="00541CC3">
              <w:rPr>
                <w:rFonts w:asciiTheme="majorHAnsi" w:hAnsiTheme="majorHAnsi"/>
                <w:noProof/>
                <w:webHidden/>
                <w:sz w:val="20"/>
                <w:szCs w:val="20"/>
              </w:rPr>
              <w:fldChar w:fldCharType="end"/>
            </w:r>
          </w:hyperlink>
        </w:p>
        <w:p w14:paraId="7DEDCFC1"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43" w:history="1">
            <w:r w:rsidRPr="00541CC3">
              <w:rPr>
                <w:rStyle w:val="Hyperlink"/>
                <w:rFonts w:asciiTheme="majorHAnsi" w:hAnsiTheme="majorHAnsi"/>
                <w:noProof/>
                <w:sz w:val="20"/>
                <w:szCs w:val="20"/>
                <w:lang w:val="sr-Latn-CS"/>
              </w:rPr>
              <w:t>8</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Uslovi koje je dužan da ispunjava koncesionar u pogledu tehničke opremljenosti, finansijske sposobnosti i ostale reference i dokaze o ispunjavanju tih uslova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29</w:t>
            </w:r>
            <w:r w:rsidRPr="00541CC3">
              <w:rPr>
                <w:rFonts w:asciiTheme="majorHAnsi" w:hAnsiTheme="majorHAnsi"/>
                <w:noProof/>
                <w:webHidden/>
                <w:sz w:val="20"/>
                <w:szCs w:val="20"/>
              </w:rPr>
              <w:fldChar w:fldCharType="end"/>
            </w:r>
          </w:hyperlink>
        </w:p>
        <w:p w14:paraId="27481B59" w14:textId="77777777" w:rsidR="00541CC3" w:rsidRPr="00541CC3" w:rsidRDefault="00541CC3">
          <w:pPr>
            <w:pStyle w:val="TOC1"/>
            <w:tabs>
              <w:tab w:val="left" w:pos="440"/>
              <w:tab w:val="right" w:pos="9350"/>
            </w:tabs>
            <w:rPr>
              <w:rFonts w:asciiTheme="majorHAnsi" w:eastAsiaTheme="minorEastAsia" w:hAnsiTheme="majorHAnsi" w:cstheme="minorBidi"/>
              <w:noProof/>
              <w:kern w:val="0"/>
              <w:sz w:val="20"/>
              <w:szCs w:val="20"/>
            </w:rPr>
          </w:pPr>
          <w:hyperlink w:anchor="_Toc459633544" w:history="1">
            <w:r w:rsidRPr="00541CC3">
              <w:rPr>
                <w:rStyle w:val="Hyperlink"/>
                <w:rFonts w:asciiTheme="majorHAnsi" w:hAnsiTheme="majorHAnsi"/>
                <w:noProof/>
                <w:sz w:val="20"/>
                <w:szCs w:val="20"/>
              </w:rPr>
              <w:t>9</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Minimalni početni iznos koncesione naknade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29</w:t>
            </w:r>
            <w:r w:rsidRPr="00541CC3">
              <w:rPr>
                <w:rFonts w:asciiTheme="majorHAnsi" w:hAnsiTheme="majorHAnsi"/>
                <w:noProof/>
                <w:webHidden/>
                <w:sz w:val="20"/>
                <w:szCs w:val="20"/>
              </w:rPr>
              <w:fldChar w:fldCharType="end"/>
            </w:r>
          </w:hyperlink>
        </w:p>
        <w:p w14:paraId="144DDF1B"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45" w:history="1">
            <w:r w:rsidRPr="00541CC3">
              <w:rPr>
                <w:rStyle w:val="Hyperlink"/>
                <w:rFonts w:asciiTheme="majorHAnsi" w:hAnsiTheme="majorHAnsi"/>
                <w:noProof/>
                <w:sz w:val="20"/>
                <w:szCs w:val="20"/>
              </w:rPr>
              <w:t>9.1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Minimalni početni iznos koncesione naknade za eksploataciju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30</w:t>
            </w:r>
            <w:r w:rsidRPr="00541CC3">
              <w:rPr>
                <w:rFonts w:asciiTheme="majorHAnsi" w:hAnsiTheme="majorHAnsi"/>
                <w:noProof/>
                <w:webHidden/>
                <w:sz w:val="20"/>
                <w:szCs w:val="20"/>
              </w:rPr>
              <w:fldChar w:fldCharType="end"/>
            </w:r>
          </w:hyperlink>
        </w:p>
        <w:p w14:paraId="0A74C403"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46" w:history="1">
            <w:r w:rsidRPr="00541CC3">
              <w:rPr>
                <w:rStyle w:val="Hyperlink"/>
                <w:rFonts w:asciiTheme="majorHAnsi" w:hAnsiTheme="majorHAnsi"/>
                <w:noProof/>
                <w:sz w:val="20"/>
                <w:szCs w:val="20"/>
              </w:rPr>
              <w:t>9.1.1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Rezerve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30</w:t>
            </w:r>
            <w:r w:rsidRPr="00541CC3">
              <w:rPr>
                <w:rFonts w:asciiTheme="majorHAnsi" w:hAnsiTheme="majorHAnsi"/>
                <w:noProof/>
                <w:webHidden/>
                <w:sz w:val="20"/>
                <w:szCs w:val="20"/>
              </w:rPr>
              <w:fldChar w:fldCharType="end"/>
            </w:r>
          </w:hyperlink>
        </w:p>
        <w:p w14:paraId="3C905938"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47" w:history="1">
            <w:r w:rsidRPr="00541CC3">
              <w:rPr>
                <w:rStyle w:val="Hyperlink"/>
                <w:rFonts w:asciiTheme="majorHAnsi" w:hAnsiTheme="majorHAnsi"/>
                <w:noProof/>
                <w:sz w:val="20"/>
                <w:szCs w:val="20"/>
              </w:rPr>
              <w:t>9.1.2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Pripadnost grupi ležišta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30</w:t>
            </w:r>
            <w:r w:rsidRPr="00541CC3">
              <w:rPr>
                <w:rFonts w:asciiTheme="majorHAnsi" w:hAnsiTheme="majorHAnsi"/>
                <w:noProof/>
                <w:webHidden/>
                <w:sz w:val="20"/>
                <w:szCs w:val="20"/>
              </w:rPr>
              <w:fldChar w:fldCharType="end"/>
            </w:r>
          </w:hyperlink>
        </w:p>
        <w:p w14:paraId="08BB80AE"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48" w:history="1">
            <w:r w:rsidRPr="00541CC3">
              <w:rPr>
                <w:rStyle w:val="Hyperlink"/>
                <w:rFonts w:asciiTheme="majorHAnsi" w:hAnsiTheme="majorHAnsi"/>
                <w:noProof/>
                <w:sz w:val="20"/>
                <w:szCs w:val="20"/>
              </w:rPr>
              <w:t>9.1.3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Kvalitet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30</w:t>
            </w:r>
            <w:r w:rsidRPr="00541CC3">
              <w:rPr>
                <w:rFonts w:asciiTheme="majorHAnsi" w:hAnsiTheme="majorHAnsi"/>
                <w:noProof/>
                <w:webHidden/>
                <w:sz w:val="20"/>
                <w:szCs w:val="20"/>
              </w:rPr>
              <w:fldChar w:fldCharType="end"/>
            </w:r>
          </w:hyperlink>
        </w:p>
        <w:p w14:paraId="1C4443B1"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49" w:history="1">
            <w:r w:rsidRPr="00541CC3">
              <w:rPr>
                <w:rStyle w:val="Hyperlink"/>
                <w:rFonts w:asciiTheme="majorHAnsi" w:hAnsiTheme="majorHAnsi"/>
                <w:noProof/>
                <w:sz w:val="20"/>
                <w:szCs w:val="20"/>
              </w:rPr>
              <w:t>9.1.4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Tržišna vrijednost rezervi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_Toc459633549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31</w:t>
            </w:r>
            <w:r w:rsidRPr="00541CC3">
              <w:rPr>
                <w:rFonts w:asciiTheme="majorHAnsi" w:hAnsiTheme="majorHAnsi"/>
                <w:noProof/>
                <w:webHidden/>
                <w:sz w:val="20"/>
                <w:szCs w:val="20"/>
              </w:rPr>
              <w:fldChar w:fldCharType="end"/>
            </w:r>
          </w:hyperlink>
        </w:p>
        <w:p w14:paraId="01E5A4C9" w14:textId="77777777" w:rsidR="00541CC3" w:rsidRPr="00541CC3" w:rsidRDefault="00541CC3">
          <w:pPr>
            <w:pStyle w:val="TOC3"/>
            <w:tabs>
              <w:tab w:val="left" w:pos="1200"/>
              <w:tab w:val="right" w:pos="9350"/>
            </w:tabs>
            <w:rPr>
              <w:rFonts w:asciiTheme="majorHAnsi" w:eastAsiaTheme="minorEastAsia" w:hAnsiTheme="majorHAnsi" w:cstheme="minorBidi"/>
              <w:noProof/>
              <w:kern w:val="0"/>
              <w:sz w:val="20"/>
              <w:szCs w:val="20"/>
            </w:rPr>
          </w:pPr>
          <w:hyperlink w:anchor="_Toc459633550" w:history="1">
            <w:r w:rsidRPr="00541CC3">
              <w:rPr>
                <w:rStyle w:val="Hyperlink"/>
                <w:rFonts w:asciiTheme="majorHAnsi" w:hAnsiTheme="majorHAnsi"/>
                <w:noProof/>
                <w:sz w:val="20"/>
                <w:szCs w:val="20"/>
              </w:rPr>
              <w:t>9.1.5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Obračun minimalne koncesione naknade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31</w:t>
            </w:r>
            <w:r w:rsidRPr="00541CC3">
              <w:rPr>
                <w:rFonts w:asciiTheme="majorHAnsi" w:hAnsiTheme="majorHAnsi"/>
                <w:noProof/>
                <w:webHidden/>
                <w:sz w:val="20"/>
                <w:szCs w:val="20"/>
              </w:rPr>
              <w:fldChar w:fldCharType="end"/>
            </w:r>
          </w:hyperlink>
        </w:p>
        <w:p w14:paraId="61EF716F"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1" w:history="1">
            <w:r w:rsidRPr="00541CC3">
              <w:rPr>
                <w:rStyle w:val="Hyperlink"/>
                <w:rFonts w:asciiTheme="majorHAnsi" w:hAnsiTheme="majorHAnsi"/>
                <w:noProof/>
                <w:sz w:val="20"/>
                <w:szCs w:val="20"/>
              </w:rPr>
              <w:t>9.2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Promjenjivi dio koncesione naknade (PDN)</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32</w:t>
            </w:r>
            <w:r w:rsidRPr="00541CC3">
              <w:rPr>
                <w:rFonts w:asciiTheme="majorHAnsi" w:hAnsiTheme="majorHAnsi"/>
                <w:noProof/>
                <w:webHidden/>
                <w:sz w:val="20"/>
                <w:szCs w:val="20"/>
              </w:rPr>
              <w:fldChar w:fldCharType="end"/>
            </w:r>
          </w:hyperlink>
        </w:p>
        <w:p w14:paraId="39DF94EE" w14:textId="77777777" w:rsidR="00541CC3" w:rsidRPr="00541CC3" w:rsidRDefault="00541CC3">
          <w:pPr>
            <w:pStyle w:val="TOC1"/>
            <w:tabs>
              <w:tab w:val="left" w:pos="720"/>
              <w:tab w:val="right" w:pos="9350"/>
            </w:tabs>
            <w:rPr>
              <w:rFonts w:asciiTheme="majorHAnsi" w:eastAsiaTheme="minorEastAsia" w:hAnsiTheme="majorHAnsi" w:cstheme="minorBidi"/>
              <w:noProof/>
              <w:kern w:val="0"/>
              <w:sz w:val="20"/>
              <w:szCs w:val="20"/>
            </w:rPr>
          </w:pPr>
          <w:hyperlink w:anchor="_Toc459633552" w:history="1">
            <w:r w:rsidRPr="00541CC3">
              <w:rPr>
                <w:rStyle w:val="Hyperlink"/>
                <w:rFonts w:asciiTheme="majorHAnsi" w:hAnsiTheme="majorHAnsi"/>
                <w:noProof/>
                <w:sz w:val="20"/>
                <w:szCs w:val="20"/>
              </w:rPr>
              <w:t>10</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Kriterijumi za izbor najpovoljnije ponude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33</w:t>
            </w:r>
            <w:r w:rsidRPr="00541CC3">
              <w:rPr>
                <w:rFonts w:asciiTheme="majorHAnsi" w:hAnsiTheme="majorHAnsi"/>
                <w:noProof/>
                <w:webHidden/>
                <w:sz w:val="20"/>
                <w:szCs w:val="20"/>
              </w:rPr>
              <w:fldChar w:fldCharType="end"/>
            </w:r>
          </w:hyperlink>
        </w:p>
        <w:p w14:paraId="516144A1"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3" w:history="1">
            <w:r w:rsidRPr="00541CC3">
              <w:rPr>
                <w:rStyle w:val="Hyperlink"/>
                <w:rFonts w:asciiTheme="majorHAnsi" w:hAnsiTheme="majorHAnsi"/>
                <w:noProof/>
                <w:sz w:val="20"/>
                <w:szCs w:val="20"/>
              </w:rPr>
              <w:t>10.1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Ponuđeni procentualni iznos za obračun koncesione naknade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33</w:t>
            </w:r>
            <w:r w:rsidRPr="00541CC3">
              <w:rPr>
                <w:rFonts w:asciiTheme="majorHAnsi" w:hAnsiTheme="majorHAnsi"/>
                <w:noProof/>
                <w:webHidden/>
                <w:sz w:val="20"/>
                <w:szCs w:val="20"/>
              </w:rPr>
              <w:fldChar w:fldCharType="end"/>
            </w:r>
          </w:hyperlink>
        </w:p>
        <w:p w14:paraId="1B92A9FC"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4" w:history="1">
            <w:r w:rsidRPr="00541CC3">
              <w:rPr>
                <w:rStyle w:val="Hyperlink"/>
                <w:rFonts w:asciiTheme="majorHAnsi" w:hAnsiTheme="majorHAnsi"/>
                <w:noProof/>
                <w:sz w:val="20"/>
                <w:szCs w:val="20"/>
              </w:rPr>
              <w:t>10.2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Ponuđeni obim rudarske proizvodnje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34</w:t>
            </w:r>
            <w:r w:rsidRPr="00541CC3">
              <w:rPr>
                <w:rFonts w:asciiTheme="majorHAnsi" w:hAnsiTheme="majorHAnsi"/>
                <w:noProof/>
                <w:webHidden/>
                <w:sz w:val="20"/>
                <w:szCs w:val="20"/>
              </w:rPr>
              <w:fldChar w:fldCharType="end"/>
            </w:r>
          </w:hyperlink>
        </w:p>
        <w:p w14:paraId="648FE5B0"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5" w:history="1">
            <w:r w:rsidRPr="00541CC3">
              <w:rPr>
                <w:rStyle w:val="Hyperlink"/>
                <w:rFonts w:asciiTheme="majorHAnsi" w:hAnsiTheme="majorHAnsi"/>
                <w:noProof/>
                <w:sz w:val="20"/>
                <w:szCs w:val="20"/>
              </w:rPr>
              <w:t>10.3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Rok trajanja koncesije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34</w:t>
            </w:r>
            <w:r w:rsidRPr="00541CC3">
              <w:rPr>
                <w:rFonts w:asciiTheme="majorHAnsi" w:hAnsiTheme="majorHAnsi"/>
                <w:noProof/>
                <w:webHidden/>
                <w:sz w:val="20"/>
                <w:szCs w:val="20"/>
              </w:rPr>
              <w:fldChar w:fldCharType="end"/>
            </w:r>
          </w:hyperlink>
        </w:p>
        <w:p w14:paraId="7F6B732A"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6" w:history="1">
            <w:r w:rsidRPr="00541CC3">
              <w:rPr>
                <w:rStyle w:val="Hyperlink"/>
                <w:rFonts w:asciiTheme="majorHAnsi" w:hAnsiTheme="majorHAnsi"/>
                <w:noProof/>
                <w:sz w:val="20"/>
                <w:szCs w:val="20"/>
              </w:rPr>
              <w:t>10.4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Reference ponuđača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35</w:t>
            </w:r>
            <w:r w:rsidRPr="00541CC3">
              <w:rPr>
                <w:rFonts w:asciiTheme="majorHAnsi" w:hAnsiTheme="majorHAnsi"/>
                <w:noProof/>
                <w:webHidden/>
                <w:sz w:val="20"/>
                <w:szCs w:val="20"/>
              </w:rPr>
              <w:fldChar w:fldCharType="end"/>
            </w:r>
          </w:hyperlink>
        </w:p>
        <w:p w14:paraId="582E177B"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7" w:history="1">
            <w:r w:rsidRPr="00541CC3">
              <w:rPr>
                <w:rStyle w:val="Hyperlink"/>
                <w:rFonts w:asciiTheme="majorHAnsi" w:hAnsiTheme="majorHAnsi"/>
                <w:noProof/>
                <w:sz w:val="20"/>
                <w:szCs w:val="20"/>
              </w:rPr>
              <w:t>10.5</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Finansijski aspekt-Prosječni bruto prihod ponuđača u posljednje tri godine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35</w:t>
            </w:r>
            <w:r w:rsidRPr="00541CC3">
              <w:rPr>
                <w:rFonts w:asciiTheme="majorHAnsi" w:hAnsiTheme="majorHAnsi"/>
                <w:noProof/>
                <w:webHidden/>
                <w:sz w:val="20"/>
                <w:szCs w:val="20"/>
              </w:rPr>
              <w:fldChar w:fldCharType="end"/>
            </w:r>
          </w:hyperlink>
        </w:p>
        <w:p w14:paraId="7B47A205"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8" w:history="1">
            <w:r w:rsidRPr="00541CC3">
              <w:rPr>
                <w:rStyle w:val="Hyperlink"/>
                <w:rFonts w:asciiTheme="majorHAnsi" w:hAnsiTheme="majorHAnsi"/>
                <w:noProof/>
                <w:sz w:val="20"/>
                <w:szCs w:val="20"/>
              </w:rPr>
              <w:t>10.6</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Finansijski aspekt - Prosječni neto profit ponuđača u posljednje tri godine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36</w:t>
            </w:r>
            <w:r w:rsidRPr="00541CC3">
              <w:rPr>
                <w:rFonts w:asciiTheme="majorHAnsi" w:hAnsiTheme="majorHAnsi"/>
                <w:noProof/>
                <w:webHidden/>
                <w:sz w:val="20"/>
                <w:szCs w:val="20"/>
              </w:rPr>
              <w:fldChar w:fldCharType="end"/>
            </w:r>
          </w:hyperlink>
        </w:p>
        <w:p w14:paraId="061F9FF1"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59" w:history="1">
            <w:r w:rsidRPr="00541CC3">
              <w:rPr>
                <w:rStyle w:val="Hyperlink"/>
                <w:rFonts w:asciiTheme="majorHAnsi" w:hAnsiTheme="majorHAnsi"/>
                <w:noProof/>
                <w:sz w:val="20"/>
                <w:szCs w:val="20"/>
              </w:rPr>
              <w:t>10.7</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Kvalitet poslovnog plana i efekti na zapošljavanje i ekonomski razvoj</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_Toc459633559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36</w:t>
            </w:r>
            <w:r w:rsidRPr="00541CC3">
              <w:rPr>
                <w:rFonts w:asciiTheme="majorHAnsi" w:hAnsiTheme="majorHAnsi"/>
                <w:noProof/>
                <w:webHidden/>
                <w:sz w:val="20"/>
                <w:szCs w:val="20"/>
              </w:rPr>
              <w:fldChar w:fldCharType="end"/>
            </w:r>
          </w:hyperlink>
        </w:p>
        <w:p w14:paraId="0647996D" w14:textId="77777777" w:rsidR="00541CC3" w:rsidRPr="00541CC3" w:rsidRDefault="00541CC3">
          <w:pPr>
            <w:pStyle w:val="TOC1"/>
            <w:tabs>
              <w:tab w:val="left" w:pos="720"/>
              <w:tab w:val="right" w:pos="9350"/>
            </w:tabs>
            <w:rPr>
              <w:rFonts w:asciiTheme="majorHAnsi" w:eastAsiaTheme="minorEastAsia" w:hAnsiTheme="majorHAnsi" w:cstheme="minorBidi"/>
              <w:noProof/>
              <w:kern w:val="0"/>
              <w:sz w:val="20"/>
              <w:szCs w:val="20"/>
            </w:rPr>
          </w:pPr>
          <w:hyperlink w:anchor="_Toc459633560" w:history="1">
            <w:r w:rsidRPr="00541CC3">
              <w:rPr>
                <w:rStyle w:val="Hyperlink"/>
                <w:rFonts w:asciiTheme="majorHAnsi" w:hAnsiTheme="majorHAnsi"/>
                <w:noProof/>
                <w:sz w:val="20"/>
                <w:szCs w:val="20"/>
                <w:lang w:val="sr-Latn-CS"/>
              </w:rPr>
              <w:t>11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Spisak potrebne tehničke dokumentacije sa uslovima za njenu izradu, odobrenja, saglasnosti i mišljenja za obavljanje koncesione djelatnosti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36</w:t>
            </w:r>
            <w:r w:rsidRPr="00541CC3">
              <w:rPr>
                <w:rFonts w:asciiTheme="majorHAnsi" w:hAnsiTheme="majorHAnsi"/>
                <w:noProof/>
                <w:webHidden/>
                <w:sz w:val="20"/>
                <w:szCs w:val="20"/>
              </w:rPr>
              <w:fldChar w:fldCharType="end"/>
            </w:r>
          </w:hyperlink>
        </w:p>
        <w:p w14:paraId="03D598E8"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61" w:history="1">
            <w:r w:rsidRPr="00541CC3">
              <w:rPr>
                <w:rStyle w:val="Hyperlink"/>
                <w:rFonts w:asciiTheme="majorHAnsi" w:hAnsiTheme="majorHAnsi"/>
                <w:noProof/>
                <w:sz w:val="20"/>
                <w:szCs w:val="20"/>
              </w:rPr>
              <w:t>11.1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Geološka istraživanja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36</w:t>
            </w:r>
            <w:r w:rsidRPr="00541CC3">
              <w:rPr>
                <w:rFonts w:asciiTheme="majorHAnsi" w:hAnsiTheme="majorHAnsi"/>
                <w:noProof/>
                <w:webHidden/>
                <w:sz w:val="20"/>
                <w:szCs w:val="20"/>
              </w:rPr>
              <w:fldChar w:fldCharType="end"/>
            </w:r>
          </w:hyperlink>
        </w:p>
        <w:p w14:paraId="3457B980"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62" w:history="1">
            <w:r w:rsidRPr="00541CC3">
              <w:rPr>
                <w:rStyle w:val="Hyperlink"/>
                <w:rFonts w:asciiTheme="majorHAnsi" w:hAnsiTheme="majorHAnsi"/>
                <w:noProof/>
                <w:sz w:val="20"/>
                <w:szCs w:val="20"/>
              </w:rPr>
              <w:t>11.2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Eksploatacija mineralne sirovine</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37</w:t>
            </w:r>
            <w:r w:rsidRPr="00541CC3">
              <w:rPr>
                <w:rFonts w:asciiTheme="majorHAnsi" w:hAnsiTheme="majorHAnsi"/>
                <w:noProof/>
                <w:webHidden/>
                <w:sz w:val="20"/>
                <w:szCs w:val="20"/>
              </w:rPr>
              <w:fldChar w:fldCharType="end"/>
            </w:r>
          </w:hyperlink>
        </w:p>
        <w:p w14:paraId="24742657" w14:textId="77777777" w:rsidR="00541CC3" w:rsidRPr="00541CC3" w:rsidRDefault="00541CC3">
          <w:pPr>
            <w:pStyle w:val="TOC3"/>
            <w:tabs>
              <w:tab w:val="left" w:pos="1440"/>
              <w:tab w:val="right" w:pos="9350"/>
            </w:tabs>
            <w:rPr>
              <w:rFonts w:asciiTheme="majorHAnsi" w:eastAsiaTheme="minorEastAsia" w:hAnsiTheme="majorHAnsi" w:cstheme="minorBidi"/>
              <w:noProof/>
              <w:kern w:val="0"/>
              <w:sz w:val="20"/>
              <w:szCs w:val="20"/>
            </w:rPr>
          </w:pPr>
          <w:hyperlink w:anchor="_Toc459633563" w:history="1">
            <w:r w:rsidRPr="00541CC3">
              <w:rPr>
                <w:rStyle w:val="Hyperlink"/>
                <w:rFonts w:asciiTheme="majorHAnsi" w:hAnsiTheme="majorHAnsi"/>
                <w:noProof/>
                <w:sz w:val="20"/>
                <w:szCs w:val="20"/>
                <w:lang w:val="sr-Latn-CS"/>
              </w:rPr>
              <w:t>11.2.1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Odobrenje za eksploataciju mineralne sirovine na eksploatacionom polju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_Toc459633563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37</w:t>
            </w:r>
            <w:r w:rsidRPr="00541CC3">
              <w:rPr>
                <w:rFonts w:asciiTheme="majorHAnsi" w:hAnsiTheme="majorHAnsi"/>
                <w:noProof/>
                <w:webHidden/>
                <w:sz w:val="20"/>
                <w:szCs w:val="20"/>
              </w:rPr>
              <w:fldChar w:fldCharType="end"/>
            </w:r>
          </w:hyperlink>
        </w:p>
        <w:p w14:paraId="16EF8BFC" w14:textId="77777777" w:rsidR="00541CC3" w:rsidRPr="00541CC3" w:rsidRDefault="00541CC3">
          <w:pPr>
            <w:pStyle w:val="TOC3"/>
            <w:tabs>
              <w:tab w:val="left" w:pos="1440"/>
              <w:tab w:val="right" w:pos="9350"/>
            </w:tabs>
            <w:rPr>
              <w:rFonts w:asciiTheme="majorHAnsi" w:eastAsiaTheme="minorEastAsia" w:hAnsiTheme="majorHAnsi" w:cstheme="minorBidi"/>
              <w:noProof/>
              <w:kern w:val="0"/>
              <w:sz w:val="20"/>
              <w:szCs w:val="20"/>
            </w:rPr>
          </w:pPr>
          <w:hyperlink w:anchor="_Toc459633564" w:history="1">
            <w:r w:rsidRPr="00541CC3">
              <w:rPr>
                <w:rStyle w:val="Hyperlink"/>
                <w:rFonts w:asciiTheme="majorHAnsi" w:hAnsiTheme="majorHAnsi"/>
                <w:noProof/>
                <w:sz w:val="20"/>
                <w:szCs w:val="20"/>
                <w:lang w:val="sr-Latn-CS"/>
              </w:rPr>
              <w:t>11.2.2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Odobrenje za izvođenje radova po rudarskom projektu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_Toc459633564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37</w:t>
            </w:r>
            <w:r w:rsidRPr="00541CC3">
              <w:rPr>
                <w:rFonts w:asciiTheme="majorHAnsi" w:hAnsiTheme="majorHAnsi"/>
                <w:noProof/>
                <w:webHidden/>
                <w:sz w:val="20"/>
                <w:szCs w:val="20"/>
              </w:rPr>
              <w:fldChar w:fldCharType="end"/>
            </w:r>
          </w:hyperlink>
        </w:p>
        <w:p w14:paraId="7ED9F4BF" w14:textId="77777777" w:rsidR="00541CC3" w:rsidRPr="00541CC3" w:rsidRDefault="00541CC3">
          <w:pPr>
            <w:pStyle w:val="TOC3"/>
            <w:tabs>
              <w:tab w:val="left" w:pos="1440"/>
              <w:tab w:val="right" w:pos="9350"/>
            </w:tabs>
            <w:rPr>
              <w:rFonts w:asciiTheme="majorHAnsi" w:eastAsiaTheme="minorEastAsia" w:hAnsiTheme="majorHAnsi" w:cstheme="minorBidi"/>
              <w:noProof/>
              <w:kern w:val="0"/>
              <w:sz w:val="20"/>
              <w:szCs w:val="20"/>
            </w:rPr>
          </w:pPr>
          <w:hyperlink w:anchor="_Toc459633565" w:history="1">
            <w:r w:rsidRPr="00541CC3">
              <w:rPr>
                <w:rStyle w:val="Hyperlink"/>
                <w:rFonts w:asciiTheme="majorHAnsi" w:hAnsiTheme="majorHAnsi"/>
                <w:noProof/>
                <w:sz w:val="20"/>
                <w:szCs w:val="20"/>
                <w:lang w:val="sr-Latn-CS"/>
              </w:rPr>
              <w:t>11.2.3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Odobrenje za upotrebu rudarskih objekata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_Toc459633565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38</w:t>
            </w:r>
            <w:r w:rsidRPr="00541CC3">
              <w:rPr>
                <w:rFonts w:asciiTheme="majorHAnsi" w:hAnsiTheme="majorHAnsi"/>
                <w:noProof/>
                <w:webHidden/>
                <w:sz w:val="20"/>
                <w:szCs w:val="20"/>
              </w:rPr>
              <w:fldChar w:fldCharType="end"/>
            </w:r>
          </w:hyperlink>
        </w:p>
        <w:p w14:paraId="0A8F380E"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66" w:history="1">
            <w:r w:rsidRPr="00541CC3">
              <w:rPr>
                <w:rStyle w:val="Hyperlink"/>
                <w:rFonts w:asciiTheme="majorHAnsi" w:hAnsiTheme="majorHAnsi"/>
                <w:noProof/>
                <w:sz w:val="20"/>
                <w:szCs w:val="20"/>
                <w:lang w:val="sr-Latn-CS"/>
              </w:rPr>
              <w:t>11.3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Hronologija</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izrade</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tehni</w:t>
            </w:r>
            <w:r w:rsidRPr="00541CC3">
              <w:rPr>
                <w:rStyle w:val="Hyperlink"/>
                <w:rFonts w:asciiTheme="majorHAnsi" w:hAnsiTheme="majorHAnsi"/>
                <w:noProof/>
                <w:sz w:val="20"/>
                <w:szCs w:val="20"/>
                <w:lang w:val="sr-Latn-CS"/>
              </w:rPr>
              <w:t>č</w:t>
            </w:r>
            <w:r w:rsidRPr="00541CC3">
              <w:rPr>
                <w:rStyle w:val="Hyperlink"/>
                <w:rFonts w:asciiTheme="majorHAnsi" w:hAnsiTheme="majorHAnsi"/>
                <w:noProof/>
                <w:sz w:val="20"/>
                <w:szCs w:val="20"/>
              </w:rPr>
              <w:t>ke</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dokumentacije</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i</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pribavljanja</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odobrenja</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i</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saglasnosti</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za</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izvo</w:t>
            </w:r>
            <w:r w:rsidRPr="00541CC3">
              <w:rPr>
                <w:rStyle w:val="Hyperlink"/>
                <w:rFonts w:asciiTheme="majorHAnsi" w:hAnsiTheme="majorHAnsi"/>
                <w:noProof/>
                <w:sz w:val="20"/>
                <w:szCs w:val="20"/>
                <w:lang w:val="sr-Latn-CS"/>
              </w:rPr>
              <w:t>đ</w:t>
            </w:r>
            <w:r w:rsidRPr="00541CC3">
              <w:rPr>
                <w:rStyle w:val="Hyperlink"/>
                <w:rFonts w:asciiTheme="majorHAnsi" w:hAnsiTheme="majorHAnsi"/>
                <w:noProof/>
                <w:sz w:val="20"/>
                <w:szCs w:val="20"/>
              </w:rPr>
              <w:t>enje</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rudarskih</w:t>
            </w:r>
            <w:r w:rsidRPr="00541CC3">
              <w:rPr>
                <w:rStyle w:val="Hyperlink"/>
                <w:rFonts w:asciiTheme="majorHAnsi" w:hAnsiTheme="majorHAnsi"/>
                <w:noProof/>
                <w:sz w:val="20"/>
                <w:szCs w:val="20"/>
                <w:lang w:val="sr-Latn-CS"/>
              </w:rPr>
              <w:t xml:space="preserve"> </w:t>
            </w:r>
            <w:r w:rsidRPr="00541CC3">
              <w:rPr>
                <w:rStyle w:val="Hyperlink"/>
                <w:rFonts w:asciiTheme="majorHAnsi" w:hAnsiTheme="majorHAnsi"/>
                <w:noProof/>
                <w:sz w:val="20"/>
                <w:szCs w:val="20"/>
              </w:rPr>
              <w:t>radova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_Toc459633566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39</w:t>
            </w:r>
            <w:r w:rsidRPr="00541CC3">
              <w:rPr>
                <w:rFonts w:asciiTheme="majorHAnsi" w:hAnsiTheme="majorHAnsi"/>
                <w:noProof/>
                <w:webHidden/>
                <w:sz w:val="20"/>
                <w:szCs w:val="20"/>
              </w:rPr>
              <w:fldChar w:fldCharType="end"/>
            </w:r>
          </w:hyperlink>
        </w:p>
        <w:p w14:paraId="33661D85" w14:textId="77777777" w:rsidR="00541CC3" w:rsidRPr="00541CC3" w:rsidRDefault="00541CC3">
          <w:pPr>
            <w:pStyle w:val="TOC1"/>
            <w:tabs>
              <w:tab w:val="left" w:pos="720"/>
              <w:tab w:val="right" w:pos="9350"/>
            </w:tabs>
            <w:rPr>
              <w:rFonts w:asciiTheme="majorHAnsi" w:eastAsiaTheme="minorEastAsia" w:hAnsiTheme="majorHAnsi" w:cstheme="minorBidi"/>
              <w:noProof/>
              <w:kern w:val="0"/>
              <w:sz w:val="20"/>
              <w:szCs w:val="20"/>
            </w:rPr>
          </w:pPr>
          <w:hyperlink w:anchor="_Toc459633567" w:history="1">
            <w:r w:rsidRPr="00541CC3">
              <w:rPr>
                <w:rStyle w:val="Hyperlink"/>
                <w:rFonts w:asciiTheme="majorHAnsi" w:hAnsiTheme="majorHAnsi"/>
                <w:noProof/>
                <w:sz w:val="20"/>
                <w:szCs w:val="20"/>
                <w:lang w:val="sr-Latn-CS"/>
              </w:rPr>
              <w:t>12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Osnovni elementi tenderske dokumentacije (javni oglas, dokumentacija vezana za ponudu)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_Toc459633567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39</w:t>
            </w:r>
            <w:r w:rsidRPr="00541CC3">
              <w:rPr>
                <w:rFonts w:asciiTheme="majorHAnsi" w:hAnsiTheme="majorHAnsi"/>
                <w:noProof/>
                <w:webHidden/>
                <w:sz w:val="20"/>
                <w:szCs w:val="20"/>
              </w:rPr>
              <w:fldChar w:fldCharType="end"/>
            </w:r>
          </w:hyperlink>
        </w:p>
        <w:p w14:paraId="6F874623"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68" w:history="1">
            <w:r w:rsidRPr="00541CC3">
              <w:rPr>
                <w:rStyle w:val="Hyperlink"/>
                <w:rFonts w:asciiTheme="majorHAnsi" w:hAnsiTheme="majorHAnsi"/>
                <w:noProof/>
                <w:sz w:val="20"/>
                <w:szCs w:val="20"/>
              </w:rPr>
              <w:t>12.1</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Dokumentacija koja se prilaže uz ponudu</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_Toc459633568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39</w:t>
            </w:r>
            <w:r w:rsidRPr="00541CC3">
              <w:rPr>
                <w:rFonts w:asciiTheme="majorHAnsi" w:hAnsiTheme="majorHAnsi"/>
                <w:noProof/>
                <w:webHidden/>
                <w:sz w:val="20"/>
                <w:szCs w:val="20"/>
              </w:rPr>
              <w:fldChar w:fldCharType="end"/>
            </w:r>
          </w:hyperlink>
        </w:p>
        <w:p w14:paraId="339AB037"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69" w:history="1">
            <w:r w:rsidRPr="00541CC3">
              <w:rPr>
                <w:rStyle w:val="Hyperlink"/>
                <w:rFonts w:asciiTheme="majorHAnsi" w:hAnsiTheme="majorHAnsi"/>
                <w:noProof/>
                <w:sz w:val="20"/>
                <w:szCs w:val="20"/>
              </w:rPr>
              <w:t>12.2</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Javni oglas</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_Toc459633569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41</w:t>
            </w:r>
            <w:r w:rsidRPr="00541CC3">
              <w:rPr>
                <w:rFonts w:asciiTheme="majorHAnsi" w:hAnsiTheme="majorHAnsi"/>
                <w:noProof/>
                <w:webHidden/>
                <w:sz w:val="20"/>
                <w:szCs w:val="20"/>
              </w:rPr>
              <w:fldChar w:fldCharType="end"/>
            </w:r>
          </w:hyperlink>
        </w:p>
        <w:p w14:paraId="5066FF6D"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70" w:history="1">
            <w:r w:rsidRPr="00541CC3">
              <w:rPr>
                <w:rStyle w:val="Hyperlink"/>
                <w:rFonts w:asciiTheme="majorHAnsi" w:hAnsiTheme="majorHAnsi"/>
                <w:noProof/>
                <w:sz w:val="20"/>
                <w:szCs w:val="20"/>
              </w:rPr>
              <w:t>12.3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Ugovor o koncesiji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_Toc459633570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42</w:t>
            </w:r>
            <w:r w:rsidRPr="00541CC3">
              <w:rPr>
                <w:rFonts w:asciiTheme="majorHAnsi" w:hAnsiTheme="majorHAnsi"/>
                <w:noProof/>
                <w:webHidden/>
                <w:sz w:val="20"/>
                <w:szCs w:val="20"/>
              </w:rPr>
              <w:fldChar w:fldCharType="end"/>
            </w:r>
          </w:hyperlink>
        </w:p>
        <w:p w14:paraId="1A61E373" w14:textId="77777777" w:rsidR="00541CC3" w:rsidRPr="00541CC3" w:rsidRDefault="00541CC3">
          <w:pPr>
            <w:pStyle w:val="TOC2"/>
            <w:tabs>
              <w:tab w:val="left" w:pos="960"/>
              <w:tab w:val="right" w:pos="9350"/>
            </w:tabs>
            <w:rPr>
              <w:rFonts w:asciiTheme="majorHAnsi" w:eastAsiaTheme="minorEastAsia" w:hAnsiTheme="majorHAnsi" w:cstheme="minorBidi"/>
              <w:noProof/>
              <w:kern w:val="0"/>
              <w:sz w:val="20"/>
              <w:szCs w:val="20"/>
            </w:rPr>
          </w:pPr>
          <w:hyperlink w:anchor="_Toc459633571" w:history="1">
            <w:r w:rsidRPr="00541CC3">
              <w:rPr>
                <w:rStyle w:val="Hyperlink"/>
                <w:rFonts w:asciiTheme="majorHAnsi" w:hAnsiTheme="majorHAnsi"/>
                <w:noProof/>
                <w:sz w:val="20"/>
                <w:szCs w:val="20"/>
              </w:rPr>
              <w:t>12.4</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rPr>
              <w:t>Uputstvo za podnošenje ponuda</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_Toc459633571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42</w:t>
            </w:r>
            <w:r w:rsidRPr="00541CC3">
              <w:rPr>
                <w:rFonts w:asciiTheme="majorHAnsi" w:hAnsiTheme="majorHAnsi"/>
                <w:noProof/>
                <w:webHidden/>
                <w:sz w:val="20"/>
                <w:szCs w:val="20"/>
              </w:rPr>
              <w:fldChar w:fldCharType="end"/>
            </w:r>
          </w:hyperlink>
        </w:p>
        <w:p w14:paraId="385F6701" w14:textId="77777777" w:rsidR="00541CC3" w:rsidRPr="00541CC3" w:rsidRDefault="00541CC3">
          <w:pPr>
            <w:pStyle w:val="TOC1"/>
            <w:tabs>
              <w:tab w:val="left" w:pos="720"/>
              <w:tab w:val="right" w:pos="9350"/>
            </w:tabs>
            <w:rPr>
              <w:rFonts w:asciiTheme="majorHAnsi" w:eastAsiaTheme="minorEastAsia" w:hAnsiTheme="majorHAnsi" w:cstheme="minorBidi"/>
              <w:noProof/>
              <w:kern w:val="0"/>
              <w:sz w:val="20"/>
              <w:szCs w:val="20"/>
            </w:rPr>
          </w:pPr>
          <w:hyperlink w:anchor="_Toc459633572" w:history="1">
            <w:r w:rsidRPr="00541CC3">
              <w:rPr>
                <w:rStyle w:val="Hyperlink"/>
                <w:rFonts w:asciiTheme="majorHAnsi" w:hAnsiTheme="majorHAnsi"/>
                <w:noProof/>
                <w:sz w:val="20"/>
                <w:szCs w:val="20"/>
                <w:lang w:val="sr-Latn-CS"/>
              </w:rPr>
              <w:t>13</w:t>
            </w:r>
            <w:r w:rsidRPr="00541CC3">
              <w:rPr>
                <w:rFonts w:asciiTheme="majorHAnsi" w:eastAsiaTheme="minorEastAsia" w:hAnsiTheme="majorHAnsi" w:cstheme="minorBidi"/>
                <w:noProof/>
                <w:kern w:val="0"/>
                <w:sz w:val="20"/>
                <w:szCs w:val="20"/>
              </w:rPr>
              <w:tab/>
            </w:r>
            <w:r w:rsidRPr="00541CC3">
              <w:rPr>
                <w:rStyle w:val="Hyperlink"/>
                <w:rFonts w:asciiTheme="majorHAnsi" w:hAnsiTheme="majorHAnsi"/>
                <w:noProof/>
                <w:sz w:val="20"/>
                <w:szCs w:val="20"/>
                <w:lang w:val="sr-Latn-CS"/>
              </w:rPr>
              <w:t>Spisak propisa koji se primjenjuje u postupku davanja koncesije i u vršenju koncesione djelatnosti</w:t>
            </w:r>
            <w:r w:rsidRPr="00541CC3">
              <w:rPr>
                <w:rFonts w:asciiTheme="majorHAnsi" w:hAnsiTheme="majorHAnsi"/>
                <w:noProof/>
                <w:webHidden/>
                <w:sz w:val="20"/>
                <w:szCs w:val="20"/>
              </w:rPr>
              <w:tab/>
            </w:r>
            <w:r w:rsidRPr="00541CC3">
              <w:rPr>
                <w:rFonts w:asciiTheme="majorHAnsi" w:hAnsiTheme="majorHAnsi"/>
                <w:noProof/>
                <w:webHidden/>
                <w:sz w:val="20"/>
                <w:szCs w:val="20"/>
              </w:rPr>
              <w:fldChar w:fldCharType="begin"/>
            </w:r>
            <w:r w:rsidRPr="00541CC3">
              <w:rPr>
                <w:rFonts w:asciiTheme="majorHAnsi" w:hAnsiTheme="majorHAnsi"/>
                <w:noProof/>
                <w:webHidden/>
                <w:sz w:val="20"/>
                <w:szCs w:val="20"/>
              </w:rPr>
              <w:instrText xml:space="preserve"> PAGEREF _Toc459633572 \h </w:instrText>
            </w:r>
            <w:r w:rsidRPr="00541CC3">
              <w:rPr>
                <w:rFonts w:asciiTheme="majorHAnsi" w:hAnsiTheme="majorHAnsi"/>
                <w:noProof/>
                <w:webHidden/>
                <w:sz w:val="20"/>
                <w:szCs w:val="20"/>
              </w:rPr>
            </w:r>
            <w:r w:rsidRPr="00541CC3">
              <w:rPr>
                <w:rFonts w:asciiTheme="majorHAnsi" w:hAnsiTheme="majorHAnsi"/>
                <w:noProof/>
                <w:webHidden/>
                <w:sz w:val="20"/>
                <w:szCs w:val="20"/>
              </w:rPr>
              <w:fldChar w:fldCharType="separate"/>
            </w:r>
            <w:r>
              <w:rPr>
                <w:rFonts w:asciiTheme="majorHAnsi" w:hAnsiTheme="majorHAnsi"/>
                <w:noProof/>
                <w:webHidden/>
                <w:sz w:val="20"/>
                <w:szCs w:val="20"/>
              </w:rPr>
              <w:t>43</w:t>
            </w:r>
            <w:r w:rsidRPr="00541CC3">
              <w:rPr>
                <w:rFonts w:asciiTheme="majorHAnsi" w:hAnsiTheme="majorHAnsi"/>
                <w:noProof/>
                <w:webHidden/>
                <w:sz w:val="20"/>
                <w:szCs w:val="20"/>
              </w:rPr>
              <w:fldChar w:fldCharType="end"/>
            </w:r>
          </w:hyperlink>
        </w:p>
        <w:p w14:paraId="40EAE3AE" w14:textId="28A23839" w:rsidR="00BE4431" w:rsidRPr="00541CC3" w:rsidRDefault="00541CC3" w:rsidP="00F653C8">
          <w:r w:rsidRPr="00541CC3">
            <w:rPr>
              <w:rFonts w:asciiTheme="majorHAnsi" w:hAnsiTheme="majorHAnsi"/>
              <w:b/>
              <w:bCs/>
              <w:noProof/>
              <w:sz w:val="20"/>
              <w:szCs w:val="20"/>
            </w:rPr>
            <w:fldChar w:fldCharType="end"/>
          </w:r>
        </w:p>
      </w:sdtContent>
    </w:sdt>
    <w:bookmarkStart w:id="0" w:name="_Toc402262924" w:displacedByCustomXml="prev"/>
    <w:bookmarkStart w:id="1" w:name="_Toc390336529" w:displacedByCustomXml="prev"/>
    <w:bookmarkStart w:id="2" w:name="_Toc390336654" w:displacedByCustomXml="prev"/>
    <w:bookmarkStart w:id="3" w:name="_Toc390549892" w:displacedByCustomXml="prev"/>
    <w:p w14:paraId="0F271DD9" w14:textId="77777777" w:rsidR="00541CC3" w:rsidRDefault="00541CC3" w:rsidP="00541CC3">
      <w:pPr>
        <w:pStyle w:val="Heading1"/>
        <w:numPr>
          <w:ilvl w:val="0"/>
          <w:numId w:val="0"/>
        </w:numPr>
        <w:ind w:left="432"/>
        <w:rPr>
          <w:rFonts w:asciiTheme="majorHAnsi" w:hAnsiTheme="majorHAnsi"/>
          <w:szCs w:val="28"/>
        </w:rPr>
      </w:pPr>
      <w:bookmarkStart w:id="4" w:name="_Toc459633511"/>
    </w:p>
    <w:p w14:paraId="6AB0D96F" w14:textId="77777777" w:rsidR="00541CC3" w:rsidRDefault="00541CC3" w:rsidP="00541CC3">
      <w:bookmarkStart w:id="5" w:name="_GoBack"/>
      <w:bookmarkEnd w:id="5"/>
    </w:p>
    <w:p w14:paraId="1D925BBB" w14:textId="77777777" w:rsidR="00541CC3" w:rsidRDefault="00541CC3" w:rsidP="00541CC3"/>
    <w:p w14:paraId="12D5D7B3" w14:textId="77777777" w:rsidR="00541CC3" w:rsidRDefault="00541CC3" w:rsidP="00541CC3"/>
    <w:p w14:paraId="30C09B6F" w14:textId="77777777" w:rsidR="00541CC3" w:rsidRPr="00541CC3" w:rsidRDefault="00541CC3" w:rsidP="00541CC3"/>
    <w:p w14:paraId="0E2D5A2A" w14:textId="77777777" w:rsidR="00F653C8" w:rsidRPr="00082F7B" w:rsidRDefault="00F653C8" w:rsidP="009474E6">
      <w:pPr>
        <w:pStyle w:val="Heading1"/>
        <w:rPr>
          <w:rFonts w:asciiTheme="majorHAnsi" w:hAnsiTheme="majorHAnsi"/>
          <w:szCs w:val="28"/>
        </w:rPr>
      </w:pPr>
      <w:r w:rsidRPr="00082F7B">
        <w:rPr>
          <w:rFonts w:asciiTheme="majorHAnsi" w:hAnsiTheme="majorHAnsi"/>
          <w:szCs w:val="28"/>
        </w:rPr>
        <w:lastRenderedPageBreak/>
        <w:t>Uvod</w:t>
      </w:r>
      <w:bookmarkEnd w:id="3"/>
      <w:bookmarkEnd w:id="2"/>
      <w:bookmarkEnd w:id="1"/>
      <w:bookmarkEnd w:id="0"/>
      <w:bookmarkEnd w:id="4"/>
    </w:p>
    <w:p w14:paraId="7CE8A976" w14:textId="77777777" w:rsidR="00F653C8" w:rsidRPr="00082F7B" w:rsidRDefault="00F653C8" w:rsidP="00F653C8">
      <w:pPr>
        <w:spacing w:after="0" w:line="240" w:lineRule="auto"/>
        <w:rPr>
          <w:rFonts w:asciiTheme="majorHAnsi" w:hAnsiTheme="majorHAnsi" w:cstheme="minorHAnsi"/>
          <w:sz w:val="24"/>
          <w:szCs w:val="24"/>
        </w:rPr>
      </w:pPr>
    </w:p>
    <w:p w14:paraId="04BA1A84" w14:textId="1F506C7A"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 skladu sa Zakonom o koncesijama (</w:t>
      </w:r>
      <w:r w:rsidR="00CC506B" w:rsidRPr="00082F7B">
        <w:rPr>
          <w:rFonts w:asciiTheme="majorHAnsi" w:hAnsiTheme="majorHAnsi" w:cstheme="minorHAnsi"/>
          <w:sz w:val="24"/>
          <w:szCs w:val="24"/>
        </w:rPr>
        <w:t>„Službeni list CG”, broj 08/09) i</w:t>
      </w:r>
      <w:r w:rsidRPr="00082F7B">
        <w:rPr>
          <w:rFonts w:asciiTheme="majorHAnsi" w:hAnsiTheme="majorHAnsi" w:cstheme="minorHAnsi"/>
          <w:sz w:val="24"/>
          <w:szCs w:val="24"/>
        </w:rPr>
        <w:t xml:space="preserve"> Planom davanja koncesija za detaljna geološka istraživanja i eksploataciju mineralnih sirovina za 2015. godinu,</w:t>
      </w:r>
      <w:r w:rsidRPr="00082F7B">
        <w:rPr>
          <w:rFonts w:asciiTheme="majorHAnsi" w:hAnsiTheme="majorHAnsi" w:cstheme="minorHAnsi"/>
          <w:color w:val="FF0000"/>
          <w:sz w:val="24"/>
          <w:szCs w:val="24"/>
        </w:rPr>
        <w:t xml:space="preserve"> </w:t>
      </w:r>
      <w:r w:rsidRPr="00082F7B">
        <w:rPr>
          <w:rFonts w:asciiTheme="majorHAnsi" w:hAnsiTheme="majorHAnsi" w:cstheme="minorHAnsi"/>
          <w:sz w:val="24"/>
          <w:szCs w:val="24"/>
        </w:rPr>
        <w:t>Ministarstvo ekonomije Vla</w:t>
      </w:r>
      <w:r w:rsidR="00920540" w:rsidRPr="00082F7B">
        <w:rPr>
          <w:rFonts w:asciiTheme="majorHAnsi" w:hAnsiTheme="majorHAnsi" w:cstheme="minorHAnsi"/>
          <w:sz w:val="24"/>
          <w:szCs w:val="24"/>
        </w:rPr>
        <w:t>de Crne Gore (u daljem tekstu: M</w:t>
      </w:r>
      <w:r w:rsidRPr="00082F7B">
        <w:rPr>
          <w:rFonts w:asciiTheme="majorHAnsi" w:hAnsiTheme="majorHAnsi" w:cstheme="minorHAnsi"/>
          <w:sz w:val="24"/>
          <w:szCs w:val="24"/>
        </w:rPr>
        <w:t>inistarstvo) je pripremilo Koncesioni akt o ležištu mineralne sirovine tehničko-građevinskog kamena</w:t>
      </w:r>
      <w:r w:rsidR="001A5654" w:rsidRPr="00082F7B">
        <w:rPr>
          <w:rFonts w:asciiTheme="majorHAnsi" w:hAnsiTheme="majorHAnsi" w:cstheme="minorHAnsi"/>
          <w:sz w:val="24"/>
          <w:szCs w:val="24"/>
        </w:rPr>
        <w:t xml:space="preserve"> (krečnjak) “Štitarica-Taskavac”, opština Mojkovac</w:t>
      </w:r>
      <w:r w:rsidRPr="00082F7B">
        <w:rPr>
          <w:rFonts w:asciiTheme="majorHAnsi" w:hAnsiTheme="majorHAnsi" w:cstheme="minorHAnsi"/>
          <w:sz w:val="24"/>
          <w:szCs w:val="24"/>
        </w:rPr>
        <w:t xml:space="preserve"> (u daljem tekstu: Koncesioni akt). Cilj izrade Koncesionog akta je pokretanje postupka javnog nadmetanja za izbor najpovoljnije ponude za dodjelu Ugovora o koncesiji za eksploataciju tehničko</w:t>
      </w:r>
      <w:r w:rsidR="00CC506B" w:rsidRPr="00082F7B">
        <w:rPr>
          <w:rFonts w:asciiTheme="majorHAnsi" w:hAnsiTheme="majorHAnsi" w:cstheme="minorHAnsi"/>
          <w:sz w:val="24"/>
          <w:szCs w:val="24"/>
        </w:rPr>
        <w:t>-građevinskog</w:t>
      </w:r>
      <w:r w:rsidRPr="00082F7B">
        <w:rPr>
          <w:rFonts w:asciiTheme="majorHAnsi" w:hAnsiTheme="majorHAnsi" w:cstheme="minorHAnsi"/>
          <w:sz w:val="24"/>
          <w:szCs w:val="24"/>
        </w:rPr>
        <w:t xml:space="preserve"> kamena </w:t>
      </w:r>
      <w:r w:rsidR="001A5654" w:rsidRPr="00082F7B">
        <w:rPr>
          <w:rFonts w:asciiTheme="majorHAnsi" w:hAnsiTheme="majorHAnsi" w:cstheme="minorHAnsi"/>
          <w:sz w:val="24"/>
          <w:szCs w:val="24"/>
        </w:rPr>
        <w:t>(krečnjak</w:t>
      </w:r>
      <w:r w:rsidR="0028454D" w:rsidRPr="00082F7B">
        <w:rPr>
          <w:rFonts w:asciiTheme="majorHAnsi" w:hAnsiTheme="majorHAnsi" w:cstheme="minorHAnsi"/>
          <w:sz w:val="24"/>
          <w:szCs w:val="24"/>
        </w:rPr>
        <w:t>) “Štitarica-Taskavac”, opština Mojkovac</w:t>
      </w:r>
      <w:r w:rsidRPr="00082F7B">
        <w:rPr>
          <w:rFonts w:asciiTheme="majorHAnsi" w:hAnsiTheme="majorHAnsi" w:cstheme="minorHAnsi"/>
          <w:sz w:val="24"/>
          <w:szCs w:val="24"/>
        </w:rPr>
        <w:t>.</w:t>
      </w:r>
    </w:p>
    <w:p w14:paraId="7297FD29" w14:textId="77777777" w:rsidR="00F653C8" w:rsidRPr="00082F7B" w:rsidRDefault="00F653C8" w:rsidP="00F653C8">
      <w:pPr>
        <w:spacing w:after="0" w:line="240" w:lineRule="auto"/>
        <w:jc w:val="both"/>
        <w:rPr>
          <w:rFonts w:asciiTheme="majorHAnsi" w:hAnsiTheme="majorHAnsi" w:cstheme="minorHAnsi"/>
          <w:sz w:val="24"/>
          <w:szCs w:val="24"/>
        </w:rPr>
      </w:pPr>
    </w:p>
    <w:p w14:paraId="4BD80B79" w14:textId="6B5E3E3D"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Inicijativu za izradu Koncesionog akta je u skladu sa članom 17 stav 2 i članom 41 Zakona o koncesij</w:t>
      </w:r>
      <w:r w:rsidR="0028454D" w:rsidRPr="00082F7B">
        <w:rPr>
          <w:rFonts w:asciiTheme="majorHAnsi" w:hAnsiTheme="majorHAnsi" w:cstheme="minorHAnsi"/>
          <w:sz w:val="24"/>
          <w:szCs w:val="24"/>
        </w:rPr>
        <w:t>ama podnijelo AD „Crnagoraput“ – Podgorica</w:t>
      </w:r>
      <w:r w:rsidRPr="00082F7B">
        <w:rPr>
          <w:rFonts w:asciiTheme="majorHAnsi" w:hAnsiTheme="majorHAnsi" w:cstheme="minorHAnsi"/>
          <w:sz w:val="24"/>
          <w:szCs w:val="24"/>
        </w:rPr>
        <w:t xml:space="preserve">, br. </w:t>
      </w:r>
      <w:r w:rsidR="0028454D" w:rsidRPr="00082F7B">
        <w:rPr>
          <w:rFonts w:asciiTheme="majorHAnsi" w:hAnsiTheme="majorHAnsi" w:cstheme="minorHAnsi"/>
          <w:sz w:val="24"/>
          <w:szCs w:val="24"/>
        </w:rPr>
        <w:t>, br. 05-831 od 04.02.2015. godine</w:t>
      </w:r>
      <w:r w:rsidRPr="00082F7B">
        <w:rPr>
          <w:rFonts w:asciiTheme="majorHAnsi" w:hAnsiTheme="majorHAnsi" w:cstheme="minorHAnsi"/>
          <w:sz w:val="24"/>
          <w:szCs w:val="24"/>
        </w:rPr>
        <w:t>, zavedene u arhivi Ministarstva pod brojem:</w:t>
      </w:r>
      <w:r w:rsidR="0028454D" w:rsidRPr="00082F7B">
        <w:rPr>
          <w:rFonts w:asciiTheme="majorHAnsi" w:hAnsiTheme="majorHAnsi" w:cstheme="minorHAnsi"/>
          <w:sz w:val="24"/>
          <w:szCs w:val="24"/>
        </w:rPr>
        <w:t xml:space="preserve"> 07-356/1 od 11.02.2015.</w:t>
      </w:r>
      <w:r w:rsidRPr="00082F7B">
        <w:rPr>
          <w:rFonts w:asciiTheme="majorHAnsi" w:hAnsiTheme="majorHAnsi" w:cstheme="minorHAnsi"/>
          <w:sz w:val="24"/>
          <w:szCs w:val="24"/>
        </w:rPr>
        <w:t xml:space="preserve"> godine.</w:t>
      </w:r>
    </w:p>
    <w:p w14:paraId="3A3D0B48" w14:textId="77777777" w:rsidR="00F653C8" w:rsidRPr="00082F7B" w:rsidRDefault="00F653C8" w:rsidP="00F653C8">
      <w:pPr>
        <w:spacing w:after="0" w:line="240" w:lineRule="auto"/>
        <w:jc w:val="both"/>
        <w:rPr>
          <w:rFonts w:asciiTheme="majorHAnsi" w:hAnsiTheme="majorHAnsi" w:cstheme="minorHAnsi"/>
          <w:sz w:val="24"/>
          <w:szCs w:val="24"/>
        </w:rPr>
      </w:pPr>
    </w:p>
    <w:p w14:paraId="52E69954" w14:textId="3362A406" w:rsidR="00F653C8" w:rsidRPr="00082F7B" w:rsidRDefault="0028454D"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Nakon prihvaćene I</w:t>
      </w:r>
      <w:r w:rsidR="00920540" w:rsidRPr="00082F7B">
        <w:rPr>
          <w:rFonts w:asciiTheme="majorHAnsi" w:hAnsiTheme="majorHAnsi" w:cstheme="minorHAnsi"/>
          <w:sz w:val="24"/>
          <w:szCs w:val="24"/>
        </w:rPr>
        <w:t>nicijative od strane M</w:t>
      </w:r>
      <w:r w:rsidR="00F653C8" w:rsidRPr="00082F7B">
        <w:rPr>
          <w:rFonts w:asciiTheme="majorHAnsi" w:hAnsiTheme="majorHAnsi" w:cstheme="minorHAnsi"/>
          <w:sz w:val="24"/>
          <w:szCs w:val="24"/>
        </w:rPr>
        <w:t>inistarstva, isto je uvrstilo ležište predmetne mineralne sirovine u Plan davanja koncesija za detaljna geološka istraživanja i eksploataciju mineralnih sirovina za 2015. godinu. Vlada Crne Gore, na sjednici od 25. juna 2015. godine, donijela Plan davanja koncesija za detaljna geološka istraživanja i eksploataciju mineralnih sirovina za 2015. godinu i zadužila Ministarstvo da otpočne pripremu koncesionih akata za realizaciju postupka davanja koncesija za detaljna geološka istraživanja i eksploataciju mineralnih sirovina, u skladu sa donijetim Planom.</w:t>
      </w:r>
    </w:p>
    <w:p w14:paraId="739512FD" w14:textId="77777777" w:rsidR="00F653C8" w:rsidRPr="00082F7B" w:rsidRDefault="00F653C8" w:rsidP="00F653C8">
      <w:pPr>
        <w:spacing w:after="0" w:line="240" w:lineRule="auto"/>
        <w:jc w:val="both"/>
        <w:rPr>
          <w:rFonts w:asciiTheme="majorHAnsi" w:hAnsiTheme="majorHAnsi" w:cstheme="minorHAnsi"/>
          <w:sz w:val="24"/>
          <w:szCs w:val="24"/>
        </w:rPr>
      </w:pPr>
    </w:p>
    <w:p w14:paraId="39066E32" w14:textId="7F91E6D0" w:rsidR="00F653C8" w:rsidRPr="00082F7B" w:rsidRDefault="00920540"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Na osnovu zaključaka Vlade, M</w:t>
      </w:r>
      <w:r w:rsidR="00F653C8" w:rsidRPr="00082F7B">
        <w:rPr>
          <w:rFonts w:asciiTheme="majorHAnsi" w:hAnsiTheme="majorHAnsi" w:cstheme="minorHAnsi"/>
          <w:sz w:val="24"/>
          <w:szCs w:val="24"/>
        </w:rPr>
        <w:t xml:space="preserve">inistarstvo je Rješenjem, broj: </w:t>
      </w:r>
      <w:r w:rsidR="0028454D" w:rsidRPr="00082F7B">
        <w:rPr>
          <w:rFonts w:asciiTheme="majorHAnsi" w:hAnsiTheme="majorHAnsi" w:cstheme="minorHAnsi"/>
          <w:sz w:val="24"/>
          <w:szCs w:val="24"/>
        </w:rPr>
        <w:t>01-356/8 od 25.09.2015. godine</w:t>
      </w:r>
      <w:r w:rsidR="00F653C8" w:rsidRPr="00082F7B">
        <w:rPr>
          <w:rFonts w:asciiTheme="majorHAnsi" w:hAnsiTheme="majorHAnsi" w:cstheme="minorHAnsi"/>
          <w:sz w:val="24"/>
          <w:szCs w:val="24"/>
        </w:rPr>
        <w:t xml:space="preserve"> formiralo Radnu grupu koja je pristupila izradi Koncesionog akta o ležištu mineralne sirovine tehničko-građevinskog  kamena</w:t>
      </w:r>
      <w:r w:rsidR="0028454D" w:rsidRPr="00082F7B">
        <w:rPr>
          <w:rFonts w:asciiTheme="majorHAnsi" w:hAnsiTheme="majorHAnsi" w:cstheme="minorHAnsi"/>
          <w:sz w:val="24"/>
          <w:szCs w:val="24"/>
        </w:rPr>
        <w:t xml:space="preserve"> (krečnjak)  “Štitarica-Taskavac”, opština Mojkovac</w:t>
      </w:r>
      <w:r w:rsidR="00F653C8" w:rsidRPr="00082F7B">
        <w:rPr>
          <w:rFonts w:asciiTheme="majorHAnsi" w:hAnsiTheme="majorHAnsi" w:cstheme="minorHAnsi"/>
          <w:sz w:val="24"/>
          <w:szCs w:val="24"/>
        </w:rPr>
        <w:t>.</w:t>
      </w:r>
    </w:p>
    <w:p w14:paraId="46BE386C" w14:textId="77777777" w:rsidR="00F653C8" w:rsidRPr="00082F7B" w:rsidRDefault="00F653C8" w:rsidP="00F653C8">
      <w:pPr>
        <w:spacing w:after="0" w:line="240" w:lineRule="auto"/>
        <w:jc w:val="both"/>
        <w:rPr>
          <w:rFonts w:asciiTheme="majorHAnsi" w:hAnsiTheme="majorHAnsi" w:cstheme="minorHAnsi"/>
          <w:sz w:val="24"/>
          <w:szCs w:val="24"/>
        </w:rPr>
      </w:pPr>
    </w:p>
    <w:p w14:paraId="0A877349" w14:textId="77777777"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 skladu sa članom 8 stav 3 Zakona o koncesijama, prije upućivanja Koncesionog akta Vladi na usvajanje, ministarstvo organizuje i sprovodi javnu raspravu u roku od 15 do 30 dana od dana upućivanja javnog poziva za javnu raspravu.</w:t>
      </w:r>
    </w:p>
    <w:p w14:paraId="095E6827" w14:textId="77777777" w:rsidR="00F653C8" w:rsidRPr="00082F7B" w:rsidRDefault="00F653C8" w:rsidP="00F653C8">
      <w:pPr>
        <w:spacing w:after="0" w:line="240" w:lineRule="auto"/>
        <w:jc w:val="both"/>
        <w:rPr>
          <w:rFonts w:asciiTheme="majorHAnsi" w:hAnsiTheme="majorHAnsi" w:cstheme="minorHAnsi"/>
          <w:sz w:val="24"/>
          <w:szCs w:val="24"/>
        </w:rPr>
      </w:pPr>
    </w:p>
    <w:p w14:paraId="05CE4F3A" w14:textId="0526CC9B"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Poslije spro</w:t>
      </w:r>
      <w:r w:rsidR="00920540" w:rsidRPr="00082F7B">
        <w:rPr>
          <w:rFonts w:asciiTheme="majorHAnsi" w:hAnsiTheme="majorHAnsi" w:cstheme="minorHAnsi"/>
          <w:sz w:val="24"/>
          <w:szCs w:val="24"/>
        </w:rPr>
        <w:t>vedene javne rasprave, M</w:t>
      </w:r>
      <w:r w:rsidRPr="00082F7B">
        <w:rPr>
          <w:rFonts w:asciiTheme="majorHAnsi" w:hAnsiTheme="majorHAnsi" w:cstheme="minorHAnsi"/>
          <w:sz w:val="24"/>
          <w:szCs w:val="24"/>
        </w:rPr>
        <w:t>inistarstvo dostavlja Vladi, u skladu sa članom 8 stav 6 Zakona o koncesijama, Koncesioni akt sa Izvještajem sa javne rasprave na usvajanje.</w:t>
      </w:r>
    </w:p>
    <w:p w14:paraId="56C21A3E" w14:textId="77777777" w:rsidR="009474E6" w:rsidRPr="00082F7B" w:rsidRDefault="009474E6" w:rsidP="00F653C8">
      <w:pPr>
        <w:spacing w:after="0" w:line="240" w:lineRule="auto"/>
        <w:jc w:val="both"/>
        <w:rPr>
          <w:rFonts w:asciiTheme="majorHAnsi" w:hAnsiTheme="majorHAnsi" w:cstheme="minorHAnsi"/>
          <w:sz w:val="24"/>
          <w:szCs w:val="24"/>
        </w:rPr>
      </w:pPr>
    </w:p>
    <w:p w14:paraId="6F75A2DF" w14:textId="6086447E"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Nakon usvajanja Koncesionog akta od strane Vlade, ministarstvo objavljuje Javni oglas za davanje koncesije za eksploataciju mineralne sirovine tehničko-građevinskog kamena</w:t>
      </w:r>
      <w:r w:rsidR="00CC506B" w:rsidRPr="00082F7B">
        <w:rPr>
          <w:rFonts w:asciiTheme="majorHAnsi" w:hAnsiTheme="majorHAnsi" w:cstheme="minorHAnsi"/>
          <w:sz w:val="24"/>
          <w:szCs w:val="24"/>
        </w:rPr>
        <w:t xml:space="preserve"> (krečnjak)</w:t>
      </w:r>
      <w:r w:rsidR="00DB6FD3" w:rsidRPr="00082F7B">
        <w:rPr>
          <w:rFonts w:asciiTheme="majorHAnsi" w:hAnsiTheme="majorHAnsi" w:cstheme="minorHAnsi"/>
          <w:sz w:val="24"/>
          <w:szCs w:val="24"/>
        </w:rPr>
        <w:t xml:space="preserve"> “Štitarica-T</w:t>
      </w:r>
      <w:r w:rsidR="00927ED5" w:rsidRPr="00082F7B">
        <w:rPr>
          <w:rFonts w:asciiTheme="majorHAnsi" w:hAnsiTheme="majorHAnsi" w:cstheme="minorHAnsi"/>
          <w:sz w:val="24"/>
          <w:szCs w:val="24"/>
        </w:rPr>
        <w:t>askavac”, opština Mojkovac</w:t>
      </w:r>
      <w:r w:rsidRPr="00082F7B">
        <w:rPr>
          <w:rFonts w:asciiTheme="majorHAnsi" w:hAnsiTheme="majorHAnsi" w:cstheme="minorHAnsi"/>
          <w:sz w:val="24"/>
          <w:szCs w:val="24"/>
        </w:rPr>
        <w:t>.</w:t>
      </w:r>
    </w:p>
    <w:p w14:paraId="0EF649DD" w14:textId="77777777" w:rsidR="009474E6" w:rsidRPr="00082F7B" w:rsidRDefault="009474E6" w:rsidP="00F653C8">
      <w:pPr>
        <w:spacing w:after="0" w:line="240" w:lineRule="auto"/>
        <w:jc w:val="both"/>
        <w:rPr>
          <w:rFonts w:asciiTheme="majorHAnsi" w:hAnsiTheme="majorHAnsi" w:cstheme="minorHAnsi"/>
          <w:sz w:val="24"/>
          <w:szCs w:val="24"/>
        </w:rPr>
      </w:pPr>
    </w:p>
    <w:p w14:paraId="197C58B6" w14:textId="77777777" w:rsidR="00F653C8" w:rsidRPr="00082F7B" w:rsidRDefault="00F653C8" w:rsidP="00F653C8">
      <w:pPr>
        <w:spacing w:after="0" w:line="240" w:lineRule="auto"/>
        <w:jc w:val="both"/>
        <w:rPr>
          <w:rFonts w:asciiTheme="majorHAnsi" w:hAnsiTheme="majorHAnsi" w:cstheme="minorHAnsi"/>
          <w:sz w:val="24"/>
          <w:szCs w:val="24"/>
          <w:lang w:eastAsia="sl-SI"/>
        </w:rPr>
      </w:pPr>
      <w:r w:rsidRPr="00082F7B">
        <w:rPr>
          <w:rFonts w:asciiTheme="majorHAnsi" w:hAnsiTheme="majorHAnsi" w:cstheme="minorHAnsi"/>
          <w:sz w:val="24"/>
          <w:szCs w:val="24"/>
          <w:lang w:eastAsia="sl-SI"/>
        </w:rPr>
        <w:t xml:space="preserve">Koncesija za </w:t>
      </w:r>
      <w:r w:rsidRPr="00082F7B">
        <w:rPr>
          <w:rFonts w:asciiTheme="majorHAnsi" w:hAnsiTheme="majorHAnsi" w:cstheme="minorHAnsi"/>
          <w:sz w:val="24"/>
          <w:szCs w:val="24"/>
        </w:rPr>
        <w:t>eksploataciju tehničko-građevinskog kamena</w:t>
      </w:r>
      <w:r w:rsidR="00927ED5" w:rsidRPr="00082F7B">
        <w:rPr>
          <w:rFonts w:asciiTheme="majorHAnsi" w:hAnsiTheme="majorHAnsi" w:cstheme="minorHAnsi"/>
          <w:sz w:val="24"/>
          <w:szCs w:val="24"/>
        </w:rPr>
        <w:t xml:space="preserve"> (krečnjak) na ležištu “Štitarica-Taskavac”, opština Mojkovac</w:t>
      </w:r>
      <w:r w:rsidRPr="00082F7B">
        <w:rPr>
          <w:rFonts w:asciiTheme="majorHAnsi" w:hAnsiTheme="majorHAnsi" w:cstheme="minorHAnsi"/>
          <w:sz w:val="24"/>
          <w:szCs w:val="24"/>
        </w:rPr>
        <w:t>, se daje</w:t>
      </w:r>
      <w:r w:rsidRPr="00082F7B">
        <w:rPr>
          <w:rFonts w:asciiTheme="majorHAnsi" w:hAnsiTheme="majorHAnsi" w:cstheme="minorHAnsi"/>
          <w:sz w:val="24"/>
          <w:szCs w:val="24"/>
          <w:lang w:eastAsia="sl-SI"/>
        </w:rPr>
        <w:t xml:space="preserve">  putem javnog nadmetanja u otvorenom postupku, na način propisan Zakonom o koncesijama.</w:t>
      </w:r>
    </w:p>
    <w:p w14:paraId="52640526" w14:textId="77777777" w:rsidR="009474E6" w:rsidRPr="00082F7B" w:rsidRDefault="009474E6" w:rsidP="00F653C8">
      <w:pPr>
        <w:spacing w:after="0" w:line="240" w:lineRule="auto"/>
        <w:jc w:val="both"/>
        <w:rPr>
          <w:rFonts w:asciiTheme="majorHAnsi" w:hAnsiTheme="majorHAnsi" w:cstheme="minorHAnsi"/>
          <w:sz w:val="24"/>
          <w:szCs w:val="24"/>
          <w:lang w:eastAsia="sl-SI"/>
        </w:rPr>
      </w:pPr>
    </w:p>
    <w:p w14:paraId="62266423" w14:textId="77777777" w:rsidR="00F653C8" w:rsidRPr="00082F7B" w:rsidRDefault="00F653C8" w:rsidP="00F653C8">
      <w:pPr>
        <w:spacing w:after="0" w:line="240" w:lineRule="auto"/>
        <w:jc w:val="both"/>
        <w:rPr>
          <w:rFonts w:asciiTheme="majorHAnsi" w:hAnsiTheme="majorHAnsi" w:cstheme="minorHAnsi"/>
          <w:sz w:val="24"/>
          <w:szCs w:val="24"/>
          <w:lang w:eastAsia="sl-SI"/>
        </w:rPr>
      </w:pPr>
      <w:r w:rsidRPr="00082F7B">
        <w:rPr>
          <w:rFonts w:asciiTheme="majorHAnsi" w:hAnsiTheme="majorHAnsi" w:cstheme="minorHAnsi"/>
          <w:sz w:val="24"/>
          <w:szCs w:val="24"/>
          <w:lang w:eastAsia="sl-SI"/>
        </w:rPr>
        <w:lastRenderedPageBreak/>
        <w:t>Ponuđač dostavlja ponudu na osnovu Javnog oglasa za davanje koncesije. Rok za dostavljanje ponuda iznosi jedan</w:t>
      </w:r>
      <w:r w:rsidRPr="00082F7B">
        <w:rPr>
          <w:rFonts w:asciiTheme="majorHAnsi" w:hAnsiTheme="majorHAnsi" w:cstheme="minorHAnsi"/>
          <w:color w:val="FF0000"/>
          <w:sz w:val="24"/>
          <w:szCs w:val="24"/>
          <w:lang w:eastAsia="sl-SI"/>
        </w:rPr>
        <w:t xml:space="preserve"> </w:t>
      </w:r>
      <w:r w:rsidRPr="00082F7B">
        <w:rPr>
          <w:rFonts w:asciiTheme="majorHAnsi" w:hAnsiTheme="majorHAnsi" w:cstheme="minorHAnsi"/>
          <w:sz w:val="24"/>
          <w:szCs w:val="24"/>
          <w:lang w:eastAsia="sl-SI"/>
        </w:rPr>
        <w:t>mjesec od dana objavljivanja Javnog oglasa u ’’Službenom listu Crne Gore’’.</w:t>
      </w:r>
    </w:p>
    <w:p w14:paraId="75DC6AAD" w14:textId="77777777" w:rsidR="00937C4A" w:rsidRPr="00082F7B" w:rsidRDefault="00937C4A" w:rsidP="00F653C8">
      <w:pPr>
        <w:spacing w:after="0" w:line="240" w:lineRule="auto"/>
        <w:jc w:val="both"/>
        <w:rPr>
          <w:rFonts w:asciiTheme="majorHAnsi" w:hAnsiTheme="majorHAnsi" w:cstheme="minorHAnsi"/>
          <w:sz w:val="24"/>
          <w:szCs w:val="24"/>
          <w:lang w:eastAsia="sl-SI"/>
        </w:rPr>
      </w:pPr>
    </w:p>
    <w:p w14:paraId="23F5787E" w14:textId="77777777" w:rsidR="00937C4A" w:rsidRPr="00082F7B" w:rsidRDefault="00937C4A" w:rsidP="00F653C8">
      <w:pPr>
        <w:spacing w:after="0" w:line="240" w:lineRule="auto"/>
        <w:jc w:val="both"/>
        <w:rPr>
          <w:rFonts w:asciiTheme="majorHAnsi" w:hAnsiTheme="majorHAnsi" w:cstheme="minorHAnsi"/>
          <w:sz w:val="24"/>
          <w:szCs w:val="24"/>
          <w:lang w:eastAsia="sl-SI"/>
        </w:rPr>
      </w:pPr>
    </w:p>
    <w:p w14:paraId="1B1C472D" w14:textId="77777777" w:rsidR="00F653C8" w:rsidRPr="00082F7B" w:rsidRDefault="00F653C8" w:rsidP="00F653C8">
      <w:pPr>
        <w:spacing w:after="0" w:line="240" w:lineRule="auto"/>
        <w:jc w:val="both"/>
        <w:rPr>
          <w:rFonts w:asciiTheme="majorHAnsi" w:hAnsiTheme="majorHAnsi" w:cstheme="minorHAnsi"/>
          <w:sz w:val="24"/>
          <w:szCs w:val="24"/>
          <w:lang w:eastAsia="sl-SI"/>
        </w:rPr>
      </w:pPr>
    </w:p>
    <w:p w14:paraId="26E3552D" w14:textId="77777777" w:rsidR="00F653C8" w:rsidRPr="00082F7B" w:rsidRDefault="00F653C8" w:rsidP="009474E6">
      <w:pPr>
        <w:pStyle w:val="Heading1"/>
        <w:rPr>
          <w:rFonts w:asciiTheme="majorHAnsi" w:hAnsiTheme="majorHAnsi"/>
          <w:szCs w:val="28"/>
        </w:rPr>
      </w:pPr>
      <w:bookmarkStart w:id="6" w:name="_Toc402262925"/>
      <w:bookmarkStart w:id="7" w:name="_Toc459633512"/>
      <w:r w:rsidRPr="00082F7B">
        <w:rPr>
          <w:rFonts w:asciiTheme="majorHAnsi" w:hAnsiTheme="majorHAnsi"/>
          <w:szCs w:val="28"/>
        </w:rPr>
        <w:t>Tehnički izvještaj o ležištu tehničk</w:t>
      </w:r>
      <w:r w:rsidR="00D368B8" w:rsidRPr="00082F7B">
        <w:rPr>
          <w:rFonts w:asciiTheme="majorHAnsi" w:hAnsiTheme="majorHAnsi"/>
          <w:szCs w:val="28"/>
        </w:rPr>
        <w:t>o-građevinskog kamena “Štitarica-Taskavac</w:t>
      </w:r>
      <w:r w:rsidRPr="00082F7B">
        <w:rPr>
          <w:rFonts w:asciiTheme="majorHAnsi" w:hAnsiTheme="majorHAnsi"/>
          <w:szCs w:val="28"/>
        </w:rPr>
        <w:t>”</w:t>
      </w:r>
      <w:bookmarkEnd w:id="7"/>
      <w:r w:rsidRPr="00082F7B">
        <w:rPr>
          <w:rFonts w:asciiTheme="majorHAnsi" w:hAnsiTheme="majorHAnsi"/>
          <w:szCs w:val="28"/>
        </w:rPr>
        <w:t xml:space="preserve"> </w:t>
      </w:r>
      <w:bookmarkEnd w:id="6"/>
    </w:p>
    <w:p w14:paraId="7A47724A" w14:textId="77777777" w:rsidR="00F653C8" w:rsidRPr="00082F7B" w:rsidRDefault="00F653C8" w:rsidP="00F653C8">
      <w:pPr>
        <w:spacing w:after="0" w:line="240" w:lineRule="auto"/>
        <w:rPr>
          <w:rFonts w:asciiTheme="majorHAnsi" w:hAnsiTheme="majorHAnsi"/>
          <w:sz w:val="24"/>
          <w:szCs w:val="24"/>
        </w:rPr>
      </w:pPr>
    </w:p>
    <w:p w14:paraId="21F88402" w14:textId="77777777" w:rsidR="00F653C8" w:rsidRPr="00082F7B" w:rsidRDefault="00F653C8" w:rsidP="009474E6">
      <w:pPr>
        <w:pStyle w:val="Heading2"/>
        <w:rPr>
          <w:rFonts w:asciiTheme="majorHAnsi" w:hAnsiTheme="majorHAnsi"/>
          <w:szCs w:val="24"/>
        </w:rPr>
      </w:pPr>
      <w:bookmarkStart w:id="8" w:name="_Toc402262926"/>
      <w:bookmarkStart w:id="9" w:name="_Toc459633513"/>
      <w:r w:rsidRPr="00082F7B">
        <w:rPr>
          <w:rFonts w:asciiTheme="majorHAnsi" w:hAnsiTheme="majorHAnsi"/>
          <w:szCs w:val="24"/>
        </w:rPr>
        <w:t>Predmet Koncesionog akta</w:t>
      </w:r>
      <w:bookmarkEnd w:id="8"/>
      <w:bookmarkEnd w:id="9"/>
    </w:p>
    <w:p w14:paraId="55ED15C5" w14:textId="77777777" w:rsidR="00F653C8" w:rsidRPr="00082F7B" w:rsidRDefault="00F653C8" w:rsidP="00F653C8">
      <w:pPr>
        <w:spacing w:after="0" w:line="240" w:lineRule="auto"/>
        <w:rPr>
          <w:rFonts w:asciiTheme="majorHAnsi" w:hAnsiTheme="majorHAnsi" w:cstheme="minorHAnsi"/>
          <w:b/>
          <w:sz w:val="24"/>
          <w:szCs w:val="24"/>
        </w:rPr>
      </w:pPr>
    </w:p>
    <w:p w14:paraId="036906A1" w14:textId="77777777"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Predmet ovog Koncesionog akta je ležište mineralne sirovine tehničko-građevinskog kamena</w:t>
      </w:r>
      <w:r w:rsidR="00927ED5" w:rsidRPr="00082F7B">
        <w:rPr>
          <w:rFonts w:asciiTheme="majorHAnsi" w:hAnsiTheme="majorHAnsi" w:cstheme="minorHAnsi"/>
          <w:sz w:val="24"/>
          <w:szCs w:val="24"/>
        </w:rPr>
        <w:t xml:space="preserve"> (krečnjak) “Štitarica-Taskavac”, opština Mojkovac</w:t>
      </w:r>
      <w:r w:rsidRPr="00082F7B">
        <w:rPr>
          <w:rFonts w:asciiTheme="majorHAnsi" w:hAnsiTheme="majorHAnsi" w:cstheme="minorHAnsi"/>
          <w:sz w:val="24"/>
          <w:szCs w:val="24"/>
        </w:rPr>
        <w:t>.</w:t>
      </w:r>
    </w:p>
    <w:p w14:paraId="6F2FFCB7" w14:textId="77777777" w:rsidR="00F653C8" w:rsidRPr="00082F7B" w:rsidRDefault="00F653C8" w:rsidP="00F653C8">
      <w:pPr>
        <w:spacing w:after="0" w:line="240" w:lineRule="auto"/>
        <w:jc w:val="both"/>
        <w:rPr>
          <w:rFonts w:asciiTheme="majorHAnsi" w:hAnsiTheme="majorHAnsi" w:cstheme="minorHAnsi"/>
          <w:sz w:val="24"/>
          <w:szCs w:val="24"/>
        </w:rPr>
      </w:pPr>
    </w:p>
    <w:p w14:paraId="1EFEFB75" w14:textId="77777777"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Rješenjem Ministarstva ek</w:t>
      </w:r>
      <w:r w:rsidR="00DC62B8" w:rsidRPr="00082F7B">
        <w:rPr>
          <w:rFonts w:asciiTheme="majorHAnsi" w:hAnsiTheme="majorHAnsi" w:cstheme="minorHAnsi"/>
          <w:sz w:val="24"/>
          <w:szCs w:val="24"/>
        </w:rPr>
        <w:t>onomije, br. 07-356/8 od 25.09</w:t>
      </w:r>
      <w:r w:rsidR="00927ED5" w:rsidRPr="00082F7B">
        <w:rPr>
          <w:rFonts w:asciiTheme="majorHAnsi" w:hAnsiTheme="majorHAnsi" w:cstheme="minorHAnsi"/>
          <w:sz w:val="24"/>
          <w:szCs w:val="24"/>
        </w:rPr>
        <w:t>.</w:t>
      </w:r>
      <w:r w:rsidRPr="00082F7B">
        <w:rPr>
          <w:rFonts w:asciiTheme="majorHAnsi" w:hAnsiTheme="majorHAnsi" w:cstheme="minorHAnsi"/>
          <w:sz w:val="24"/>
          <w:szCs w:val="24"/>
        </w:rPr>
        <w:t xml:space="preserve">2015. godine, obrazovana je stručna Radna grupa za izradu Koncesionog akta za dodjelu koncesije za eksploataciju mineralne sirovine tehničko-građevinskog kamena </w:t>
      </w:r>
      <w:r w:rsidR="00DC62B8" w:rsidRPr="00082F7B">
        <w:rPr>
          <w:rFonts w:asciiTheme="majorHAnsi" w:hAnsiTheme="majorHAnsi" w:cstheme="minorHAnsi"/>
          <w:sz w:val="24"/>
          <w:szCs w:val="24"/>
        </w:rPr>
        <w:t>(krečnjak) ležišta “Štitarica-T</w:t>
      </w:r>
      <w:r w:rsidR="00927ED5" w:rsidRPr="00082F7B">
        <w:rPr>
          <w:rFonts w:asciiTheme="majorHAnsi" w:hAnsiTheme="majorHAnsi" w:cstheme="minorHAnsi"/>
          <w:sz w:val="24"/>
          <w:szCs w:val="24"/>
        </w:rPr>
        <w:t>askavac”, opština Mojkovac</w:t>
      </w:r>
      <w:r w:rsidRPr="00082F7B">
        <w:rPr>
          <w:rFonts w:asciiTheme="majorHAnsi" w:hAnsiTheme="majorHAnsi" w:cstheme="minorHAnsi"/>
          <w:sz w:val="24"/>
          <w:szCs w:val="24"/>
        </w:rPr>
        <w:t>.</w:t>
      </w:r>
    </w:p>
    <w:p w14:paraId="37017E76" w14:textId="77777777" w:rsidR="00927ED5" w:rsidRPr="00082F7B" w:rsidRDefault="00927ED5" w:rsidP="00F653C8">
      <w:pPr>
        <w:spacing w:after="0" w:line="240" w:lineRule="auto"/>
        <w:jc w:val="both"/>
        <w:rPr>
          <w:rFonts w:asciiTheme="majorHAnsi" w:hAnsiTheme="majorHAnsi" w:cstheme="minorHAnsi"/>
          <w:sz w:val="24"/>
          <w:szCs w:val="24"/>
        </w:rPr>
      </w:pPr>
    </w:p>
    <w:p w14:paraId="4F5D4F3B" w14:textId="77777777" w:rsidR="00F653C8" w:rsidRPr="00082F7B" w:rsidRDefault="00F653C8" w:rsidP="009474E6">
      <w:pPr>
        <w:pStyle w:val="Heading2"/>
        <w:rPr>
          <w:rFonts w:asciiTheme="majorHAnsi" w:hAnsiTheme="majorHAnsi"/>
          <w:szCs w:val="24"/>
        </w:rPr>
      </w:pPr>
      <w:bookmarkStart w:id="10" w:name="_Toc402262927"/>
      <w:bookmarkStart w:id="11" w:name="_Toc459633514"/>
      <w:r w:rsidRPr="00082F7B">
        <w:rPr>
          <w:rFonts w:asciiTheme="majorHAnsi" w:hAnsiTheme="majorHAnsi"/>
          <w:szCs w:val="24"/>
        </w:rPr>
        <w:t>Položaj i opis lokacije istražno-eksploatacionog prostora</w:t>
      </w:r>
      <w:bookmarkEnd w:id="10"/>
      <w:bookmarkEnd w:id="11"/>
    </w:p>
    <w:p w14:paraId="49B56685" w14:textId="77777777" w:rsidR="00F653C8" w:rsidRPr="00082F7B" w:rsidRDefault="00F653C8" w:rsidP="00F653C8">
      <w:pPr>
        <w:spacing w:after="0" w:line="240" w:lineRule="auto"/>
        <w:jc w:val="both"/>
        <w:rPr>
          <w:rFonts w:asciiTheme="majorHAnsi" w:hAnsiTheme="majorHAnsi" w:cstheme="minorHAnsi"/>
          <w:sz w:val="24"/>
          <w:szCs w:val="24"/>
        </w:rPr>
      </w:pPr>
    </w:p>
    <w:p w14:paraId="4F2ADF39"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Ležište tehničko-građevinskog kamena (krečnjaka) ”Štitarica - Taskavac“</w:t>
      </w:r>
      <w:r w:rsidRPr="00082F7B">
        <w:rPr>
          <w:rFonts w:asciiTheme="majorHAnsi" w:hAnsiTheme="majorHAnsi" w:cstheme="minorHAnsi"/>
          <w:sz w:val="24"/>
          <w:szCs w:val="24"/>
          <w:lang w:val="sr-Latn-CS"/>
        </w:rPr>
        <w:t xml:space="preserve">, </w:t>
      </w:r>
      <w:r w:rsidRPr="00082F7B">
        <w:rPr>
          <w:rFonts w:asciiTheme="majorHAnsi" w:hAnsiTheme="majorHAnsi"/>
          <w:sz w:val="24"/>
          <w:szCs w:val="24"/>
          <w:lang w:val="sr-Latn-CS"/>
        </w:rPr>
        <w:t xml:space="preserve"> u geografskom smislu</w:t>
      </w:r>
      <w:r w:rsidRPr="00082F7B">
        <w:rPr>
          <w:rFonts w:asciiTheme="majorHAnsi" w:hAnsiTheme="majorHAnsi" w:cstheme="minorHAnsi"/>
          <w:sz w:val="24"/>
          <w:szCs w:val="24"/>
          <w:lang w:val="sr-Latn-CS"/>
        </w:rPr>
        <w:t xml:space="preserve">, </w:t>
      </w:r>
      <w:r w:rsidRPr="00082F7B">
        <w:rPr>
          <w:rFonts w:asciiTheme="majorHAnsi" w:hAnsiTheme="majorHAnsi"/>
          <w:sz w:val="24"/>
          <w:szCs w:val="24"/>
          <w:lang w:val="sr-Latn-CS"/>
        </w:rPr>
        <w:t xml:space="preserve"> pripada središnjem dijelu Crne Gore. Nalazi se u mjestu Štitarica, 4 km vazdušne linije jugozapadno od Mojkovca i 3,7 km sjeverozapadno od Biogradskog jezera, na desnoj obali Štitaričke rijeke, odnosno na sjeveroistočnim padinama planinskog uzvišenja Gradac (1.364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Rastojanje između predmetnog ležišta i Biogradskog jezera, mjereno postojećim saobraćajnicama, iznosi oko 6 km.</w:t>
      </w:r>
    </w:p>
    <w:p w14:paraId="3AC25E8E" w14:textId="77777777" w:rsidR="009A71E8" w:rsidRPr="00082F7B" w:rsidRDefault="009A71E8" w:rsidP="009A71E8">
      <w:pPr>
        <w:spacing w:after="0" w:line="240" w:lineRule="auto"/>
        <w:jc w:val="both"/>
        <w:rPr>
          <w:rFonts w:asciiTheme="majorHAnsi" w:hAnsiTheme="majorHAnsi"/>
          <w:sz w:val="24"/>
          <w:szCs w:val="24"/>
          <w:lang w:val="sr-Latn-CS"/>
        </w:rPr>
      </w:pPr>
    </w:p>
    <w:p w14:paraId="4DB2470D"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Prema administrativnoj podjeli prostor na kome se nalazi ležište ”Štitarica - Taskavac“ pripada opštini Mojkovac.</w:t>
      </w:r>
    </w:p>
    <w:p w14:paraId="4B5C92EA" w14:textId="77777777" w:rsidR="009A71E8" w:rsidRPr="00082F7B" w:rsidRDefault="009A71E8" w:rsidP="009A71E8">
      <w:pPr>
        <w:spacing w:after="0" w:line="240" w:lineRule="auto"/>
        <w:jc w:val="both"/>
        <w:rPr>
          <w:rFonts w:asciiTheme="majorHAnsi" w:hAnsiTheme="majorHAnsi"/>
          <w:sz w:val="24"/>
          <w:szCs w:val="24"/>
          <w:lang w:val="sr-Latn-CS"/>
        </w:rPr>
      </w:pPr>
    </w:p>
    <w:p w14:paraId="397D0901"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Istražno-eksploatacioni prostor i ležište tehničko-građevinskog kamena</w:t>
      </w:r>
      <w:r w:rsidRPr="00082F7B">
        <w:rPr>
          <w:rFonts w:asciiTheme="majorHAnsi" w:hAnsiTheme="majorHAnsi" w:cstheme="minorHAnsi"/>
          <w:sz w:val="24"/>
          <w:szCs w:val="24"/>
          <w:lang w:val="sr-Latn-CS"/>
        </w:rPr>
        <w:t xml:space="preserve"> (krečnjak)</w:t>
      </w:r>
      <w:r w:rsidRPr="00082F7B">
        <w:rPr>
          <w:rFonts w:asciiTheme="majorHAnsi" w:hAnsiTheme="majorHAnsi"/>
          <w:sz w:val="24"/>
          <w:szCs w:val="24"/>
          <w:lang w:val="sr-Latn-CS"/>
        </w:rPr>
        <w:t xml:space="preserve"> “Štitarica – Taskavac“ pripada geografskom listu „Ivangrad“, 1:100 000, odnosno sekciji „Mojkovac“, 1:25 000.</w:t>
      </w:r>
    </w:p>
    <w:p w14:paraId="0CCF37B8" w14:textId="77777777" w:rsidR="009A71E8" w:rsidRPr="00082F7B" w:rsidRDefault="009A71E8" w:rsidP="009A71E8">
      <w:pPr>
        <w:spacing w:after="0" w:line="240" w:lineRule="auto"/>
        <w:jc w:val="both"/>
        <w:rPr>
          <w:rFonts w:asciiTheme="majorHAnsi" w:hAnsiTheme="majorHAnsi"/>
          <w:sz w:val="24"/>
          <w:szCs w:val="24"/>
          <w:lang w:val="sr-Latn-CS"/>
        </w:rPr>
      </w:pPr>
    </w:p>
    <w:p w14:paraId="049944D8" w14:textId="77777777" w:rsidR="009A71E8" w:rsidRPr="00082F7B" w:rsidRDefault="009A71E8" w:rsidP="009A71E8">
      <w:pPr>
        <w:spacing w:after="0" w:line="240" w:lineRule="auto"/>
        <w:jc w:val="both"/>
        <w:rPr>
          <w:rFonts w:asciiTheme="majorHAnsi" w:hAnsiTheme="majorHAnsi" w:cstheme="minorHAnsi"/>
          <w:sz w:val="24"/>
          <w:szCs w:val="24"/>
          <w:lang w:val="sr-Latn-CS"/>
        </w:rPr>
      </w:pPr>
      <w:r w:rsidRPr="00082F7B">
        <w:rPr>
          <w:rFonts w:asciiTheme="majorHAnsi" w:hAnsiTheme="majorHAnsi"/>
          <w:sz w:val="24"/>
          <w:szCs w:val="24"/>
          <w:lang w:val="sr-Latn-CS"/>
        </w:rPr>
        <w:t xml:space="preserve">Ležište tehničko-građevinskog kamena “Štitarica - Taskavac” </w:t>
      </w:r>
      <w:r w:rsidRPr="00082F7B">
        <w:rPr>
          <w:rFonts w:asciiTheme="majorHAnsi" w:hAnsiTheme="majorHAnsi" w:cstheme="minorHAnsi"/>
          <w:sz w:val="24"/>
          <w:szCs w:val="24"/>
          <w:lang w:val="sr-Latn-CS"/>
        </w:rPr>
        <w:t xml:space="preserve">povezano je sa </w:t>
      </w:r>
      <w:r w:rsidRPr="00082F7B">
        <w:rPr>
          <w:rFonts w:asciiTheme="majorHAnsi" w:hAnsiTheme="majorHAnsi"/>
          <w:sz w:val="24"/>
          <w:szCs w:val="24"/>
          <w:lang w:val="sr-Latn-CS"/>
        </w:rPr>
        <w:t xml:space="preserve"> magistralom</w:t>
      </w:r>
      <w:r w:rsidR="008F797A" w:rsidRPr="00082F7B">
        <w:rPr>
          <w:rFonts w:asciiTheme="majorHAnsi" w:hAnsiTheme="majorHAnsi"/>
          <w:sz w:val="24"/>
          <w:szCs w:val="24"/>
          <w:lang w:val="sr-Latn-CS"/>
        </w:rPr>
        <w:t xml:space="preserve"> Kolašin-Mojkovac</w:t>
      </w:r>
      <w:r w:rsidRPr="00082F7B">
        <w:rPr>
          <w:rFonts w:asciiTheme="majorHAnsi" w:hAnsiTheme="majorHAnsi"/>
          <w:sz w:val="24"/>
          <w:szCs w:val="24"/>
          <w:lang w:val="sr-Latn-CS"/>
        </w:rPr>
        <w:t xml:space="preserve"> i dolinom rijeke Tare, lokalnim asfaltnim putem dužine 700 m. To je putni pravac koji od magistrale ide južnim padinama Malog Preprana i Okrugličkog krša do sela </w:t>
      </w:r>
      <w:r w:rsidRPr="00082F7B">
        <w:rPr>
          <w:rFonts w:asciiTheme="majorHAnsi" w:hAnsiTheme="majorHAnsi"/>
          <w:sz w:val="24"/>
          <w:szCs w:val="24"/>
          <w:lang w:val="sr-Latn-CS"/>
        </w:rPr>
        <w:lastRenderedPageBreak/>
        <w:t>Donja i Gornja Štitarica. Od Gornje Štitarice ovaj put dalje prelazi u makadamski put koji povezuje planinska naselja na prostoru sjevernih padina Sinjavine.</w:t>
      </w:r>
    </w:p>
    <w:p w14:paraId="06F2D263" w14:textId="77777777" w:rsidR="009A71E8" w:rsidRPr="00082F7B" w:rsidRDefault="009A71E8" w:rsidP="009A71E8">
      <w:pPr>
        <w:spacing w:after="0" w:line="240" w:lineRule="auto"/>
        <w:jc w:val="both"/>
        <w:rPr>
          <w:rFonts w:asciiTheme="majorHAnsi" w:hAnsiTheme="majorHAnsi"/>
          <w:sz w:val="24"/>
          <w:szCs w:val="24"/>
          <w:lang w:val="sr-Latn-CS"/>
        </w:rPr>
      </w:pPr>
    </w:p>
    <w:p w14:paraId="2C7DD11F" w14:textId="77777777" w:rsidR="009A71E8" w:rsidRPr="00082F7B" w:rsidRDefault="009A71E8" w:rsidP="009A71E8">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Eksploataciono polje „Štitarica-Taskavac“ ograničeno je tačkama T1, T2, T3, T4, T5, T6, T7 i T8 i pravim linijama između ovih tačaka, a zahvata površinu od oko 7,58 ha. Koordinate graničnih tačaka i dužine strana 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8"/>
        <w:gridCol w:w="1740"/>
        <w:gridCol w:w="1724"/>
        <w:gridCol w:w="7"/>
        <w:gridCol w:w="1985"/>
        <w:gridCol w:w="1428"/>
      </w:tblGrid>
      <w:tr w:rsidR="009A71E8" w:rsidRPr="00082F7B" w14:paraId="44B2D9E6" w14:textId="77777777" w:rsidTr="00937C4A">
        <w:trPr>
          <w:trHeight w:val="270"/>
          <w:jc w:val="center"/>
        </w:trPr>
        <w:tc>
          <w:tcPr>
            <w:tcW w:w="1638" w:type="dxa"/>
            <w:vMerge w:val="restart"/>
            <w:tcBorders>
              <w:top w:val="single" w:sz="12" w:space="0" w:color="auto"/>
              <w:left w:val="single" w:sz="12" w:space="0" w:color="auto"/>
              <w:right w:val="single" w:sz="12" w:space="0" w:color="auto"/>
            </w:tcBorders>
            <w:shd w:val="clear" w:color="auto" w:fill="FFFFFF" w:themeFill="background1"/>
            <w:vAlign w:val="center"/>
          </w:tcPr>
          <w:p w14:paraId="71CC4BBB" w14:textId="77777777" w:rsidR="009A71E8" w:rsidRPr="00082F7B" w:rsidRDefault="009A71E8" w:rsidP="00937C4A">
            <w:pPr>
              <w:ind w:left="108"/>
              <w:jc w:val="center"/>
              <w:rPr>
                <w:rFonts w:asciiTheme="majorHAnsi" w:hAnsiTheme="majorHAnsi" w:cstheme="minorHAnsi"/>
                <w:sz w:val="24"/>
                <w:szCs w:val="24"/>
              </w:rPr>
            </w:pPr>
            <w:r w:rsidRPr="00082F7B">
              <w:rPr>
                <w:rFonts w:asciiTheme="majorHAnsi" w:hAnsiTheme="majorHAnsi" w:cstheme="minorHAnsi"/>
                <w:b/>
                <w:sz w:val="24"/>
                <w:szCs w:val="24"/>
              </w:rPr>
              <w:t>Tačka</w:t>
            </w:r>
          </w:p>
        </w:tc>
        <w:tc>
          <w:tcPr>
            <w:tcW w:w="3464" w:type="dxa"/>
            <w:gridSpan w:val="2"/>
            <w:tcBorders>
              <w:top w:val="single" w:sz="12" w:space="0" w:color="auto"/>
              <w:left w:val="single" w:sz="12" w:space="0" w:color="auto"/>
              <w:right w:val="single" w:sz="2" w:space="0" w:color="auto"/>
            </w:tcBorders>
            <w:shd w:val="clear" w:color="auto" w:fill="FFFFFF" w:themeFill="background1"/>
            <w:vAlign w:val="center"/>
          </w:tcPr>
          <w:p w14:paraId="45822AFC"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b/>
                <w:sz w:val="24"/>
                <w:szCs w:val="24"/>
              </w:rPr>
              <w:t>Koordinate</w:t>
            </w:r>
          </w:p>
        </w:tc>
        <w:tc>
          <w:tcPr>
            <w:tcW w:w="1992" w:type="dxa"/>
            <w:gridSpan w:val="2"/>
            <w:vMerge w:val="restart"/>
            <w:tcBorders>
              <w:top w:val="single" w:sz="12" w:space="0" w:color="auto"/>
              <w:left w:val="single" w:sz="2" w:space="0" w:color="auto"/>
              <w:right w:val="single" w:sz="2" w:space="0" w:color="auto"/>
            </w:tcBorders>
            <w:shd w:val="clear" w:color="auto" w:fill="FFFFFF" w:themeFill="background1"/>
            <w:vAlign w:val="center"/>
          </w:tcPr>
          <w:p w14:paraId="2DB7EEAC"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b/>
                <w:sz w:val="24"/>
                <w:szCs w:val="24"/>
              </w:rPr>
              <w:t>Dužine strana</w:t>
            </w:r>
          </w:p>
          <w:p w14:paraId="044C1042" w14:textId="77777777" w:rsidR="009A71E8" w:rsidRPr="00082F7B" w:rsidRDefault="009A71E8" w:rsidP="00937C4A">
            <w:pPr>
              <w:jc w:val="center"/>
              <w:rPr>
                <w:rFonts w:asciiTheme="majorHAnsi" w:hAnsiTheme="majorHAnsi" w:cstheme="minorHAnsi"/>
                <w:b/>
                <w:sz w:val="24"/>
                <w:szCs w:val="24"/>
              </w:rPr>
            </w:pPr>
            <w:r w:rsidRPr="00082F7B">
              <w:rPr>
                <w:rFonts w:asciiTheme="majorHAnsi" w:hAnsiTheme="majorHAnsi" w:cstheme="minorHAnsi"/>
                <w:b/>
                <w:sz w:val="24"/>
                <w:szCs w:val="24"/>
              </w:rPr>
              <w:t>(m)</w:t>
            </w:r>
          </w:p>
        </w:tc>
        <w:tc>
          <w:tcPr>
            <w:tcW w:w="1428" w:type="dxa"/>
            <w:vMerge w:val="restart"/>
            <w:tcBorders>
              <w:top w:val="single" w:sz="12" w:space="0" w:color="auto"/>
              <w:left w:val="single" w:sz="2" w:space="0" w:color="auto"/>
              <w:right w:val="single" w:sz="12" w:space="0" w:color="auto"/>
            </w:tcBorders>
            <w:shd w:val="clear" w:color="auto" w:fill="FFFFFF" w:themeFill="background1"/>
            <w:vAlign w:val="center"/>
          </w:tcPr>
          <w:p w14:paraId="75186A4C"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b/>
                <w:sz w:val="24"/>
                <w:szCs w:val="24"/>
              </w:rPr>
              <w:t>Površina</w:t>
            </w:r>
          </w:p>
        </w:tc>
      </w:tr>
      <w:tr w:rsidR="009A71E8" w:rsidRPr="00082F7B" w14:paraId="6F3120FF" w14:textId="77777777" w:rsidTr="00937C4A">
        <w:trPr>
          <w:trHeight w:val="225"/>
          <w:jc w:val="center"/>
        </w:trPr>
        <w:tc>
          <w:tcPr>
            <w:tcW w:w="1638" w:type="dxa"/>
            <w:vMerge/>
            <w:tcBorders>
              <w:left w:val="single" w:sz="12" w:space="0" w:color="auto"/>
              <w:bottom w:val="single" w:sz="12" w:space="0" w:color="auto"/>
              <w:right w:val="single" w:sz="12" w:space="0" w:color="auto"/>
            </w:tcBorders>
            <w:shd w:val="clear" w:color="auto" w:fill="auto"/>
            <w:vAlign w:val="center"/>
          </w:tcPr>
          <w:p w14:paraId="1C5E22CD" w14:textId="77777777" w:rsidR="009A71E8" w:rsidRPr="00082F7B" w:rsidRDefault="009A71E8" w:rsidP="00937C4A">
            <w:pPr>
              <w:ind w:left="108"/>
              <w:jc w:val="center"/>
              <w:rPr>
                <w:rFonts w:asciiTheme="majorHAnsi" w:hAnsiTheme="majorHAnsi" w:cstheme="minorHAnsi"/>
                <w:sz w:val="24"/>
                <w:szCs w:val="24"/>
              </w:rPr>
            </w:pPr>
          </w:p>
        </w:tc>
        <w:tc>
          <w:tcPr>
            <w:tcW w:w="1740" w:type="dxa"/>
            <w:tcBorders>
              <w:left w:val="single" w:sz="12" w:space="0" w:color="auto"/>
              <w:bottom w:val="single" w:sz="12" w:space="0" w:color="auto"/>
            </w:tcBorders>
            <w:shd w:val="clear" w:color="auto" w:fill="FFFFFF" w:themeFill="background1"/>
            <w:vAlign w:val="center"/>
          </w:tcPr>
          <w:p w14:paraId="6269C892" w14:textId="77777777" w:rsidR="009A71E8" w:rsidRPr="00082F7B" w:rsidRDefault="009A71E8" w:rsidP="00937C4A">
            <w:pPr>
              <w:jc w:val="center"/>
              <w:rPr>
                <w:rFonts w:asciiTheme="majorHAnsi" w:hAnsiTheme="majorHAnsi" w:cstheme="minorHAnsi"/>
                <w:b/>
                <w:sz w:val="24"/>
                <w:szCs w:val="24"/>
              </w:rPr>
            </w:pPr>
            <w:r w:rsidRPr="00082F7B">
              <w:rPr>
                <w:rFonts w:asciiTheme="majorHAnsi" w:hAnsiTheme="majorHAnsi" w:cstheme="minorHAnsi"/>
                <w:b/>
                <w:sz w:val="24"/>
                <w:szCs w:val="24"/>
              </w:rPr>
              <w:t>X</w:t>
            </w:r>
          </w:p>
        </w:tc>
        <w:tc>
          <w:tcPr>
            <w:tcW w:w="1724" w:type="dxa"/>
            <w:tcBorders>
              <w:bottom w:val="single" w:sz="12" w:space="0" w:color="auto"/>
              <w:right w:val="single" w:sz="2" w:space="0" w:color="auto"/>
            </w:tcBorders>
            <w:shd w:val="clear" w:color="auto" w:fill="FFFFFF" w:themeFill="background1"/>
            <w:vAlign w:val="center"/>
          </w:tcPr>
          <w:p w14:paraId="0F40686D" w14:textId="77777777" w:rsidR="009A71E8" w:rsidRPr="00082F7B" w:rsidRDefault="009A71E8" w:rsidP="00937C4A">
            <w:pPr>
              <w:jc w:val="center"/>
              <w:rPr>
                <w:rFonts w:asciiTheme="majorHAnsi" w:hAnsiTheme="majorHAnsi" w:cstheme="minorHAnsi"/>
                <w:b/>
                <w:sz w:val="24"/>
                <w:szCs w:val="24"/>
              </w:rPr>
            </w:pPr>
            <w:r w:rsidRPr="00082F7B">
              <w:rPr>
                <w:rFonts w:asciiTheme="majorHAnsi" w:hAnsiTheme="majorHAnsi" w:cstheme="minorHAnsi"/>
                <w:b/>
                <w:sz w:val="24"/>
                <w:szCs w:val="24"/>
              </w:rPr>
              <w:t>Y</w:t>
            </w:r>
          </w:p>
        </w:tc>
        <w:tc>
          <w:tcPr>
            <w:tcW w:w="1992" w:type="dxa"/>
            <w:gridSpan w:val="2"/>
            <w:vMerge/>
            <w:tcBorders>
              <w:left w:val="single" w:sz="2" w:space="0" w:color="auto"/>
              <w:bottom w:val="single" w:sz="12" w:space="0" w:color="auto"/>
              <w:right w:val="single" w:sz="2" w:space="0" w:color="auto"/>
            </w:tcBorders>
            <w:shd w:val="clear" w:color="auto" w:fill="auto"/>
            <w:vAlign w:val="center"/>
          </w:tcPr>
          <w:p w14:paraId="34F2D9D7" w14:textId="77777777" w:rsidR="009A71E8" w:rsidRPr="00082F7B" w:rsidRDefault="009A71E8" w:rsidP="00937C4A">
            <w:pPr>
              <w:jc w:val="center"/>
              <w:rPr>
                <w:rFonts w:asciiTheme="majorHAnsi" w:hAnsiTheme="majorHAnsi" w:cstheme="minorHAnsi"/>
                <w:sz w:val="24"/>
                <w:szCs w:val="24"/>
              </w:rPr>
            </w:pPr>
          </w:p>
        </w:tc>
        <w:tc>
          <w:tcPr>
            <w:tcW w:w="1428" w:type="dxa"/>
            <w:vMerge/>
            <w:tcBorders>
              <w:left w:val="single" w:sz="2" w:space="0" w:color="auto"/>
              <w:bottom w:val="single" w:sz="12" w:space="0" w:color="auto"/>
              <w:right w:val="single" w:sz="12" w:space="0" w:color="auto"/>
            </w:tcBorders>
            <w:shd w:val="clear" w:color="auto" w:fill="auto"/>
            <w:vAlign w:val="center"/>
          </w:tcPr>
          <w:p w14:paraId="639BE871" w14:textId="77777777" w:rsidR="009A71E8" w:rsidRPr="00082F7B" w:rsidRDefault="009A71E8" w:rsidP="00937C4A">
            <w:pPr>
              <w:jc w:val="center"/>
              <w:rPr>
                <w:rFonts w:asciiTheme="majorHAnsi" w:hAnsiTheme="majorHAnsi" w:cstheme="minorHAnsi"/>
                <w:sz w:val="24"/>
                <w:szCs w:val="24"/>
              </w:rPr>
            </w:pPr>
          </w:p>
        </w:tc>
      </w:tr>
      <w:tr w:rsidR="009A71E8" w:rsidRPr="00082F7B" w14:paraId="5D3DC7FE" w14:textId="77777777" w:rsidTr="00BE4431">
        <w:tblPrEx>
          <w:tblLook w:val="01E0" w:firstRow="1" w:lastRow="1" w:firstColumn="1" w:lastColumn="1" w:noHBand="0" w:noVBand="0"/>
        </w:tblPrEx>
        <w:trPr>
          <w:trHeight w:val="303"/>
          <w:jc w:val="center"/>
        </w:trPr>
        <w:tc>
          <w:tcPr>
            <w:tcW w:w="1638" w:type="dxa"/>
            <w:tcBorders>
              <w:top w:val="single" w:sz="12" w:space="0" w:color="auto"/>
              <w:left w:val="single" w:sz="12" w:space="0" w:color="auto"/>
              <w:right w:val="single" w:sz="12" w:space="0" w:color="auto"/>
            </w:tcBorders>
            <w:shd w:val="clear" w:color="auto" w:fill="auto"/>
            <w:vAlign w:val="center"/>
          </w:tcPr>
          <w:p w14:paraId="4ACBD0B2"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T1</w:t>
            </w:r>
          </w:p>
        </w:tc>
        <w:tc>
          <w:tcPr>
            <w:tcW w:w="1740" w:type="dxa"/>
            <w:tcBorders>
              <w:top w:val="single" w:sz="12" w:space="0" w:color="auto"/>
              <w:left w:val="single" w:sz="12" w:space="0" w:color="auto"/>
            </w:tcBorders>
            <w:shd w:val="clear" w:color="auto" w:fill="auto"/>
            <w:vAlign w:val="center"/>
          </w:tcPr>
          <w:p w14:paraId="08121276"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4 754 502,76</w:t>
            </w:r>
          </w:p>
        </w:tc>
        <w:tc>
          <w:tcPr>
            <w:tcW w:w="1731" w:type="dxa"/>
            <w:gridSpan w:val="2"/>
            <w:tcBorders>
              <w:top w:val="single" w:sz="12" w:space="0" w:color="auto"/>
              <w:right w:val="single" w:sz="2" w:space="0" w:color="auto"/>
            </w:tcBorders>
            <w:shd w:val="clear" w:color="auto" w:fill="auto"/>
            <w:vAlign w:val="center"/>
          </w:tcPr>
          <w:p w14:paraId="385AEB85"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7 383 264,23</w:t>
            </w:r>
          </w:p>
        </w:tc>
        <w:tc>
          <w:tcPr>
            <w:tcW w:w="1985" w:type="dxa"/>
            <w:tcBorders>
              <w:top w:val="single" w:sz="12" w:space="0" w:color="auto"/>
              <w:left w:val="single" w:sz="2" w:space="0" w:color="auto"/>
              <w:right w:val="single" w:sz="2" w:space="0" w:color="auto"/>
            </w:tcBorders>
            <w:shd w:val="clear" w:color="auto" w:fill="auto"/>
            <w:vAlign w:val="center"/>
          </w:tcPr>
          <w:p w14:paraId="130A1F11"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T1-T2=207,9186</w:t>
            </w:r>
          </w:p>
        </w:tc>
        <w:tc>
          <w:tcPr>
            <w:tcW w:w="1428" w:type="dxa"/>
            <w:vMerge w:val="restart"/>
            <w:tcBorders>
              <w:top w:val="single" w:sz="12" w:space="0" w:color="auto"/>
              <w:left w:val="single" w:sz="2" w:space="0" w:color="auto"/>
              <w:right w:val="single" w:sz="12" w:space="0" w:color="auto"/>
            </w:tcBorders>
            <w:shd w:val="clear" w:color="auto" w:fill="auto"/>
            <w:vAlign w:val="center"/>
          </w:tcPr>
          <w:p w14:paraId="0656892D" w14:textId="77777777" w:rsidR="009A71E8" w:rsidRPr="00082F7B" w:rsidRDefault="009A71E8" w:rsidP="00937C4A">
            <w:pPr>
              <w:jc w:val="center"/>
              <w:rPr>
                <w:rFonts w:asciiTheme="majorHAnsi" w:hAnsiTheme="majorHAnsi" w:cstheme="minorHAnsi"/>
                <w:sz w:val="24"/>
                <w:szCs w:val="24"/>
              </w:rPr>
            </w:pPr>
          </w:p>
          <w:p w14:paraId="40D92717" w14:textId="77777777" w:rsidR="009A71E8" w:rsidRPr="00082F7B" w:rsidRDefault="009A71E8" w:rsidP="00937C4A">
            <w:pPr>
              <w:jc w:val="center"/>
              <w:rPr>
                <w:rFonts w:asciiTheme="majorHAnsi" w:hAnsiTheme="majorHAnsi" w:cstheme="minorHAnsi"/>
                <w:sz w:val="24"/>
                <w:szCs w:val="24"/>
              </w:rPr>
            </w:pPr>
          </w:p>
          <w:p w14:paraId="65BD697B" w14:textId="77777777" w:rsidR="00937C4A" w:rsidRPr="00082F7B" w:rsidRDefault="00937C4A" w:rsidP="00937C4A">
            <w:pPr>
              <w:jc w:val="center"/>
              <w:rPr>
                <w:rFonts w:asciiTheme="majorHAnsi" w:hAnsiTheme="majorHAnsi" w:cstheme="minorHAnsi"/>
                <w:sz w:val="24"/>
                <w:szCs w:val="24"/>
              </w:rPr>
            </w:pPr>
          </w:p>
          <w:p w14:paraId="2E848281"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ha</w:t>
            </w:r>
          </w:p>
          <w:p w14:paraId="2C8F5B24"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58 ar</w:t>
            </w:r>
          </w:p>
          <w:p w14:paraId="12A84A79" w14:textId="77777777" w:rsidR="009A71E8" w:rsidRPr="00082F7B" w:rsidRDefault="009A71E8" w:rsidP="00937C4A">
            <w:pPr>
              <w:jc w:val="center"/>
              <w:rPr>
                <w:rFonts w:asciiTheme="majorHAnsi" w:hAnsiTheme="majorHAnsi" w:cstheme="minorHAnsi"/>
                <w:sz w:val="24"/>
                <w:szCs w:val="24"/>
                <w:vertAlign w:val="superscript"/>
              </w:rPr>
            </w:pPr>
            <w:r w:rsidRPr="00082F7B">
              <w:rPr>
                <w:rFonts w:asciiTheme="majorHAnsi" w:hAnsiTheme="majorHAnsi" w:cstheme="minorHAnsi"/>
                <w:sz w:val="24"/>
                <w:szCs w:val="24"/>
              </w:rPr>
              <w:t>19 m</w:t>
            </w:r>
            <w:r w:rsidRPr="00082F7B">
              <w:rPr>
                <w:rFonts w:asciiTheme="majorHAnsi" w:hAnsiTheme="majorHAnsi" w:cstheme="minorHAnsi"/>
                <w:sz w:val="24"/>
                <w:szCs w:val="24"/>
                <w:vertAlign w:val="superscript"/>
              </w:rPr>
              <w:t>2</w:t>
            </w:r>
          </w:p>
        </w:tc>
      </w:tr>
      <w:tr w:rsidR="009A71E8" w:rsidRPr="00082F7B" w14:paraId="6D790438"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262E326B"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T2</w:t>
            </w:r>
          </w:p>
        </w:tc>
        <w:tc>
          <w:tcPr>
            <w:tcW w:w="1740" w:type="dxa"/>
            <w:tcBorders>
              <w:left w:val="single" w:sz="12" w:space="0" w:color="auto"/>
            </w:tcBorders>
            <w:shd w:val="clear" w:color="auto" w:fill="auto"/>
            <w:vAlign w:val="center"/>
          </w:tcPr>
          <w:p w14:paraId="5550EFD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4 754 700,00</w:t>
            </w:r>
          </w:p>
        </w:tc>
        <w:tc>
          <w:tcPr>
            <w:tcW w:w="1731" w:type="dxa"/>
            <w:gridSpan w:val="2"/>
            <w:tcBorders>
              <w:right w:val="single" w:sz="2" w:space="0" w:color="auto"/>
            </w:tcBorders>
            <w:shd w:val="clear" w:color="auto" w:fill="auto"/>
            <w:vAlign w:val="center"/>
          </w:tcPr>
          <w:p w14:paraId="1D0EC595"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7 383 330,00</w:t>
            </w:r>
          </w:p>
        </w:tc>
        <w:tc>
          <w:tcPr>
            <w:tcW w:w="1985" w:type="dxa"/>
            <w:tcBorders>
              <w:left w:val="single" w:sz="2" w:space="0" w:color="auto"/>
              <w:right w:val="single" w:sz="2" w:space="0" w:color="auto"/>
            </w:tcBorders>
            <w:shd w:val="clear" w:color="auto" w:fill="auto"/>
            <w:vAlign w:val="center"/>
          </w:tcPr>
          <w:p w14:paraId="5ABEA5DE"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T2-T3=88,3685</w:t>
            </w:r>
          </w:p>
        </w:tc>
        <w:tc>
          <w:tcPr>
            <w:tcW w:w="1428" w:type="dxa"/>
            <w:vMerge/>
            <w:tcBorders>
              <w:left w:val="single" w:sz="2" w:space="0" w:color="auto"/>
              <w:right w:val="single" w:sz="12" w:space="0" w:color="auto"/>
            </w:tcBorders>
            <w:shd w:val="clear" w:color="auto" w:fill="auto"/>
          </w:tcPr>
          <w:p w14:paraId="5EEE0D17" w14:textId="77777777" w:rsidR="009A71E8" w:rsidRPr="00082F7B" w:rsidRDefault="009A71E8" w:rsidP="00D6150B">
            <w:pPr>
              <w:jc w:val="center"/>
              <w:rPr>
                <w:rFonts w:asciiTheme="majorHAnsi" w:hAnsiTheme="majorHAnsi" w:cstheme="minorHAnsi"/>
                <w:sz w:val="24"/>
                <w:szCs w:val="24"/>
              </w:rPr>
            </w:pPr>
          </w:p>
        </w:tc>
      </w:tr>
      <w:tr w:rsidR="009A71E8" w:rsidRPr="00082F7B" w14:paraId="026D1F5D"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56A3C284"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T3</w:t>
            </w:r>
          </w:p>
        </w:tc>
        <w:tc>
          <w:tcPr>
            <w:tcW w:w="1740" w:type="dxa"/>
            <w:tcBorders>
              <w:left w:val="single" w:sz="12" w:space="0" w:color="auto"/>
            </w:tcBorders>
            <w:shd w:val="clear" w:color="auto" w:fill="auto"/>
            <w:vAlign w:val="center"/>
          </w:tcPr>
          <w:p w14:paraId="636A2AA0"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4 754 753,30</w:t>
            </w:r>
          </w:p>
        </w:tc>
        <w:tc>
          <w:tcPr>
            <w:tcW w:w="1731" w:type="dxa"/>
            <w:gridSpan w:val="2"/>
            <w:tcBorders>
              <w:right w:val="single" w:sz="2" w:space="0" w:color="auto"/>
            </w:tcBorders>
            <w:shd w:val="clear" w:color="auto" w:fill="auto"/>
            <w:vAlign w:val="center"/>
          </w:tcPr>
          <w:p w14:paraId="7AF232CF"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7 383 400,00</w:t>
            </w:r>
          </w:p>
        </w:tc>
        <w:tc>
          <w:tcPr>
            <w:tcW w:w="1985" w:type="dxa"/>
            <w:tcBorders>
              <w:left w:val="single" w:sz="2" w:space="0" w:color="auto"/>
              <w:right w:val="single" w:sz="2" w:space="0" w:color="auto"/>
            </w:tcBorders>
            <w:shd w:val="clear" w:color="auto" w:fill="auto"/>
            <w:vAlign w:val="center"/>
          </w:tcPr>
          <w:p w14:paraId="3894249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T3-T4=100,3476</w:t>
            </w:r>
          </w:p>
        </w:tc>
        <w:tc>
          <w:tcPr>
            <w:tcW w:w="1428" w:type="dxa"/>
            <w:vMerge/>
            <w:tcBorders>
              <w:left w:val="single" w:sz="2" w:space="0" w:color="auto"/>
              <w:right w:val="single" w:sz="12" w:space="0" w:color="auto"/>
            </w:tcBorders>
            <w:shd w:val="clear" w:color="auto" w:fill="auto"/>
          </w:tcPr>
          <w:p w14:paraId="264D66CA" w14:textId="77777777" w:rsidR="009A71E8" w:rsidRPr="00082F7B" w:rsidRDefault="009A71E8" w:rsidP="00D6150B">
            <w:pPr>
              <w:jc w:val="center"/>
              <w:rPr>
                <w:rFonts w:asciiTheme="majorHAnsi" w:hAnsiTheme="majorHAnsi" w:cstheme="minorHAnsi"/>
                <w:sz w:val="24"/>
                <w:szCs w:val="24"/>
              </w:rPr>
            </w:pPr>
          </w:p>
        </w:tc>
      </w:tr>
      <w:tr w:rsidR="009A71E8" w:rsidRPr="00082F7B" w14:paraId="0C14E0B4"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2F58ED4E"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T4</w:t>
            </w:r>
          </w:p>
        </w:tc>
        <w:tc>
          <w:tcPr>
            <w:tcW w:w="1740" w:type="dxa"/>
            <w:tcBorders>
              <w:left w:val="single" w:sz="12" w:space="0" w:color="auto"/>
            </w:tcBorders>
            <w:shd w:val="clear" w:color="auto" w:fill="auto"/>
            <w:vAlign w:val="center"/>
          </w:tcPr>
          <w:p w14:paraId="01949DD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4 754 782,87</w:t>
            </w:r>
          </w:p>
        </w:tc>
        <w:tc>
          <w:tcPr>
            <w:tcW w:w="1731" w:type="dxa"/>
            <w:gridSpan w:val="2"/>
            <w:tcBorders>
              <w:right w:val="single" w:sz="2" w:space="0" w:color="auto"/>
            </w:tcBorders>
            <w:shd w:val="clear" w:color="auto" w:fill="auto"/>
            <w:vAlign w:val="center"/>
          </w:tcPr>
          <w:p w14:paraId="3D78C735"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7 383 496,38</w:t>
            </w:r>
          </w:p>
        </w:tc>
        <w:tc>
          <w:tcPr>
            <w:tcW w:w="1985" w:type="dxa"/>
            <w:tcBorders>
              <w:left w:val="single" w:sz="2" w:space="0" w:color="auto"/>
              <w:right w:val="single" w:sz="2" w:space="0" w:color="auto"/>
            </w:tcBorders>
            <w:shd w:val="clear" w:color="auto" w:fill="auto"/>
            <w:vAlign w:val="center"/>
          </w:tcPr>
          <w:p w14:paraId="5D7EFE44"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T4-T5=111,4924</w:t>
            </w:r>
          </w:p>
        </w:tc>
        <w:tc>
          <w:tcPr>
            <w:tcW w:w="1428" w:type="dxa"/>
            <w:vMerge/>
            <w:tcBorders>
              <w:left w:val="single" w:sz="2" w:space="0" w:color="auto"/>
              <w:right w:val="single" w:sz="12" w:space="0" w:color="auto"/>
            </w:tcBorders>
            <w:shd w:val="clear" w:color="auto" w:fill="auto"/>
          </w:tcPr>
          <w:p w14:paraId="6BED5CFA" w14:textId="77777777" w:rsidR="009A71E8" w:rsidRPr="00082F7B" w:rsidRDefault="009A71E8" w:rsidP="00D6150B">
            <w:pPr>
              <w:jc w:val="center"/>
              <w:rPr>
                <w:rFonts w:asciiTheme="majorHAnsi" w:hAnsiTheme="majorHAnsi" w:cstheme="minorHAnsi"/>
                <w:sz w:val="24"/>
                <w:szCs w:val="24"/>
              </w:rPr>
            </w:pPr>
          </w:p>
        </w:tc>
      </w:tr>
      <w:tr w:rsidR="009A71E8" w:rsidRPr="00082F7B" w14:paraId="24ECCF0C"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17FD12D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T5</w:t>
            </w:r>
          </w:p>
        </w:tc>
        <w:tc>
          <w:tcPr>
            <w:tcW w:w="1740" w:type="dxa"/>
            <w:tcBorders>
              <w:left w:val="single" w:sz="12" w:space="0" w:color="auto"/>
            </w:tcBorders>
            <w:shd w:val="clear" w:color="auto" w:fill="auto"/>
            <w:vAlign w:val="center"/>
          </w:tcPr>
          <w:p w14:paraId="62C967F9"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4 754 709,26</w:t>
            </w:r>
          </w:p>
        </w:tc>
        <w:tc>
          <w:tcPr>
            <w:tcW w:w="1731" w:type="dxa"/>
            <w:gridSpan w:val="2"/>
            <w:tcBorders>
              <w:right w:val="single" w:sz="2" w:space="0" w:color="auto"/>
            </w:tcBorders>
            <w:shd w:val="clear" w:color="auto" w:fill="auto"/>
            <w:vAlign w:val="center"/>
          </w:tcPr>
          <w:p w14:paraId="63A6A46E"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7 383 580,12</w:t>
            </w:r>
          </w:p>
        </w:tc>
        <w:tc>
          <w:tcPr>
            <w:tcW w:w="1985" w:type="dxa"/>
            <w:tcBorders>
              <w:left w:val="single" w:sz="2" w:space="0" w:color="auto"/>
              <w:right w:val="single" w:sz="2" w:space="0" w:color="auto"/>
            </w:tcBorders>
            <w:shd w:val="clear" w:color="auto" w:fill="auto"/>
            <w:vAlign w:val="center"/>
          </w:tcPr>
          <w:p w14:paraId="0AFEFC29"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T5-T6=149,599</w:t>
            </w:r>
          </w:p>
        </w:tc>
        <w:tc>
          <w:tcPr>
            <w:tcW w:w="1428" w:type="dxa"/>
            <w:vMerge/>
            <w:tcBorders>
              <w:left w:val="single" w:sz="2" w:space="0" w:color="auto"/>
              <w:right w:val="single" w:sz="12" w:space="0" w:color="auto"/>
            </w:tcBorders>
            <w:shd w:val="clear" w:color="auto" w:fill="auto"/>
          </w:tcPr>
          <w:p w14:paraId="731C6F75" w14:textId="77777777" w:rsidR="009A71E8" w:rsidRPr="00082F7B" w:rsidRDefault="009A71E8" w:rsidP="00D6150B">
            <w:pPr>
              <w:jc w:val="center"/>
              <w:rPr>
                <w:rFonts w:asciiTheme="majorHAnsi" w:hAnsiTheme="majorHAnsi" w:cstheme="minorHAnsi"/>
                <w:sz w:val="24"/>
                <w:szCs w:val="24"/>
              </w:rPr>
            </w:pPr>
          </w:p>
        </w:tc>
      </w:tr>
      <w:tr w:rsidR="009A71E8" w:rsidRPr="00082F7B" w14:paraId="6A9A38A1"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2BCFB66F"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T6</w:t>
            </w:r>
          </w:p>
        </w:tc>
        <w:tc>
          <w:tcPr>
            <w:tcW w:w="1740" w:type="dxa"/>
            <w:tcBorders>
              <w:left w:val="single" w:sz="12" w:space="0" w:color="auto"/>
            </w:tcBorders>
            <w:shd w:val="clear" w:color="auto" w:fill="auto"/>
            <w:vAlign w:val="center"/>
          </w:tcPr>
          <w:p w14:paraId="5A968735"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4 754 560,00</w:t>
            </w:r>
          </w:p>
        </w:tc>
        <w:tc>
          <w:tcPr>
            <w:tcW w:w="1731" w:type="dxa"/>
            <w:gridSpan w:val="2"/>
            <w:tcBorders>
              <w:right w:val="single" w:sz="2" w:space="0" w:color="auto"/>
            </w:tcBorders>
            <w:shd w:val="clear" w:color="auto" w:fill="auto"/>
            <w:vAlign w:val="center"/>
          </w:tcPr>
          <w:p w14:paraId="5BCDCFA6"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7 383 570,00</w:t>
            </w:r>
          </w:p>
        </w:tc>
        <w:tc>
          <w:tcPr>
            <w:tcW w:w="1985" w:type="dxa"/>
            <w:tcBorders>
              <w:left w:val="single" w:sz="2" w:space="0" w:color="auto"/>
              <w:right w:val="single" w:sz="2" w:space="0" w:color="auto"/>
            </w:tcBorders>
            <w:shd w:val="clear" w:color="auto" w:fill="auto"/>
            <w:vAlign w:val="center"/>
          </w:tcPr>
          <w:p w14:paraId="01A3F384"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T6-T7=162,5813</w:t>
            </w:r>
          </w:p>
        </w:tc>
        <w:tc>
          <w:tcPr>
            <w:tcW w:w="1428" w:type="dxa"/>
            <w:vMerge/>
            <w:tcBorders>
              <w:left w:val="single" w:sz="2" w:space="0" w:color="auto"/>
              <w:right w:val="single" w:sz="12" w:space="0" w:color="auto"/>
            </w:tcBorders>
            <w:shd w:val="clear" w:color="auto" w:fill="auto"/>
          </w:tcPr>
          <w:p w14:paraId="09C1CB20" w14:textId="77777777" w:rsidR="009A71E8" w:rsidRPr="00082F7B" w:rsidRDefault="009A71E8" w:rsidP="00D6150B">
            <w:pPr>
              <w:jc w:val="center"/>
              <w:rPr>
                <w:rFonts w:asciiTheme="majorHAnsi" w:hAnsiTheme="majorHAnsi" w:cstheme="minorHAnsi"/>
                <w:sz w:val="24"/>
                <w:szCs w:val="24"/>
              </w:rPr>
            </w:pPr>
          </w:p>
        </w:tc>
      </w:tr>
      <w:tr w:rsidR="009A71E8" w:rsidRPr="00082F7B" w14:paraId="369102D5" w14:textId="77777777" w:rsidTr="00937C4A">
        <w:tblPrEx>
          <w:tblLook w:val="01E0" w:firstRow="1" w:lastRow="1" w:firstColumn="1" w:lastColumn="1" w:noHBand="0" w:noVBand="0"/>
        </w:tblPrEx>
        <w:trPr>
          <w:jc w:val="center"/>
        </w:trPr>
        <w:tc>
          <w:tcPr>
            <w:tcW w:w="1638" w:type="dxa"/>
            <w:tcBorders>
              <w:left w:val="single" w:sz="12" w:space="0" w:color="auto"/>
              <w:right w:val="single" w:sz="12" w:space="0" w:color="auto"/>
            </w:tcBorders>
            <w:shd w:val="clear" w:color="auto" w:fill="auto"/>
            <w:vAlign w:val="center"/>
          </w:tcPr>
          <w:p w14:paraId="397B720F"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T7</w:t>
            </w:r>
          </w:p>
        </w:tc>
        <w:tc>
          <w:tcPr>
            <w:tcW w:w="1740" w:type="dxa"/>
            <w:tcBorders>
              <w:left w:val="single" w:sz="12" w:space="0" w:color="auto"/>
            </w:tcBorders>
            <w:shd w:val="clear" w:color="auto" w:fill="auto"/>
            <w:vAlign w:val="center"/>
          </w:tcPr>
          <w:p w14:paraId="4FD38B74"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4 754 449,65</w:t>
            </w:r>
          </w:p>
        </w:tc>
        <w:tc>
          <w:tcPr>
            <w:tcW w:w="1731" w:type="dxa"/>
            <w:gridSpan w:val="2"/>
            <w:tcBorders>
              <w:right w:val="single" w:sz="2" w:space="0" w:color="auto"/>
            </w:tcBorders>
            <w:shd w:val="clear" w:color="auto" w:fill="auto"/>
            <w:vAlign w:val="center"/>
          </w:tcPr>
          <w:p w14:paraId="0199D176"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7 383 450,60</w:t>
            </w:r>
          </w:p>
        </w:tc>
        <w:tc>
          <w:tcPr>
            <w:tcW w:w="1985" w:type="dxa"/>
            <w:tcBorders>
              <w:left w:val="single" w:sz="2" w:space="0" w:color="auto"/>
              <w:right w:val="single" w:sz="2" w:space="0" w:color="auto"/>
            </w:tcBorders>
            <w:shd w:val="clear" w:color="auto" w:fill="auto"/>
            <w:vAlign w:val="center"/>
          </w:tcPr>
          <w:p w14:paraId="05055A10"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T7-T8=130,9533</w:t>
            </w:r>
          </w:p>
        </w:tc>
        <w:tc>
          <w:tcPr>
            <w:tcW w:w="1428" w:type="dxa"/>
            <w:vMerge/>
            <w:tcBorders>
              <w:left w:val="single" w:sz="2" w:space="0" w:color="auto"/>
              <w:right w:val="single" w:sz="12" w:space="0" w:color="auto"/>
            </w:tcBorders>
            <w:shd w:val="clear" w:color="auto" w:fill="auto"/>
          </w:tcPr>
          <w:p w14:paraId="395CC226" w14:textId="77777777" w:rsidR="009A71E8" w:rsidRPr="00082F7B" w:rsidRDefault="009A71E8" w:rsidP="00D6150B">
            <w:pPr>
              <w:jc w:val="center"/>
              <w:rPr>
                <w:rFonts w:asciiTheme="majorHAnsi" w:hAnsiTheme="majorHAnsi" w:cstheme="minorHAnsi"/>
                <w:sz w:val="24"/>
                <w:szCs w:val="24"/>
              </w:rPr>
            </w:pPr>
          </w:p>
        </w:tc>
      </w:tr>
      <w:tr w:rsidR="009A71E8" w:rsidRPr="00082F7B" w14:paraId="24F6925C" w14:textId="77777777" w:rsidTr="00937C4A">
        <w:tblPrEx>
          <w:tblLook w:val="01E0" w:firstRow="1" w:lastRow="1" w:firstColumn="1" w:lastColumn="1" w:noHBand="0" w:noVBand="0"/>
        </w:tblPrEx>
        <w:trPr>
          <w:trHeight w:val="323"/>
          <w:jc w:val="center"/>
        </w:trPr>
        <w:tc>
          <w:tcPr>
            <w:tcW w:w="1638" w:type="dxa"/>
            <w:tcBorders>
              <w:left w:val="single" w:sz="12" w:space="0" w:color="auto"/>
              <w:bottom w:val="single" w:sz="12" w:space="0" w:color="auto"/>
              <w:right w:val="single" w:sz="12" w:space="0" w:color="auto"/>
            </w:tcBorders>
            <w:shd w:val="clear" w:color="auto" w:fill="auto"/>
            <w:vAlign w:val="center"/>
          </w:tcPr>
          <w:p w14:paraId="7426637E"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T8</w:t>
            </w:r>
          </w:p>
        </w:tc>
        <w:tc>
          <w:tcPr>
            <w:tcW w:w="1740" w:type="dxa"/>
            <w:tcBorders>
              <w:left w:val="single" w:sz="12" w:space="0" w:color="auto"/>
              <w:bottom w:val="single" w:sz="12" w:space="0" w:color="auto"/>
              <w:right w:val="single" w:sz="4" w:space="0" w:color="auto"/>
            </w:tcBorders>
            <w:shd w:val="clear" w:color="auto" w:fill="auto"/>
            <w:vAlign w:val="center"/>
          </w:tcPr>
          <w:p w14:paraId="7FC3C8D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4 754 440,00</w:t>
            </w:r>
          </w:p>
        </w:tc>
        <w:tc>
          <w:tcPr>
            <w:tcW w:w="1731" w:type="dxa"/>
            <w:gridSpan w:val="2"/>
            <w:tcBorders>
              <w:left w:val="single" w:sz="4" w:space="0" w:color="auto"/>
              <w:bottom w:val="single" w:sz="12" w:space="0" w:color="auto"/>
              <w:right w:val="single" w:sz="2" w:space="0" w:color="auto"/>
            </w:tcBorders>
            <w:shd w:val="clear" w:color="auto" w:fill="auto"/>
            <w:vAlign w:val="center"/>
          </w:tcPr>
          <w:p w14:paraId="14FDBC4D"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7 383 320,00</w:t>
            </w:r>
          </w:p>
        </w:tc>
        <w:tc>
          <w:tcPr>
            <w:tcW w:w="1985" w:type="dxa"/>
            <w:tcBorders>
              <w:left w:val="single" w:sz="2" w:space="0" w:color="auto"/>
              <w:bottom w:val="single" w:sz="12" w:space="0" w:color="auto"/>
              <w:right w:val="single" w:sz="2" w:space="0" w:color="auto"/>
            </w:tcBorders>
            <w:shd w:val="clear" w:color="auto" w:fill="auto"/>
            <w:vAlign w:val="center"/>
          </w:tcPr>
          <w:p w14:paraId="652D8CBE" w14:textId="77777777" w:rsidR="009A71E8" w:rsidRPr="00082F7B" w:rsidRDefault="009A71E8" w:rsidP="00937C4A">
            <w:pPr>
              <w:jc w:val="center"/>
              <w:rPr>
                <w:rFonts w:asciiTheme="majorHAnsi" w:hAnsiTheme="majorHAnsi" w:cstheme="minorHAnsi"/>
                <w:sz w:val="24"/>
                <w:szCs w:val="24"/>
              </w:rPr>
            </w:pPr>
            <w:r w:rsidRPr="00082F7B">
              <w:rPr>
                <w:rFonts w:asciiTheme="majorHAnsi" w:hAnsiTheme="majorHAnsi" w:cstheme="minorHAnsi"/>
                <w:sz w:val="24"/>
                <w:szCs w:val="24"/>
              </w:rPr>
              <w:t>T8-T1=83,9601</w:t>
            </w:r>
          </w:p>
        </w:tc>
        <w:tc>
          <w:tcPr>
            <w:tcW w:w="1428" w:type="dxa"/>
            <w:vMerge/>
            <w:tcBorders>
              <w:left w:val="single" w:sz="2" w:space="0" w:color="auto"/>
              <w:bottom w:val="single" w:sz="12" w:space="0" w:color="auto"/>
              <w:right w:val="single" w:sz="12" w:space="0" w:color="auto"/>
            </w:tcBorders>
            <w:shd w:val="clear" w:color="auto" w:fill="auto"/>
          </w:tcPr>
          <w:p w14:paraId="1F7D4CC3" w14:textId="77777777" w:rsidR="009A71E8" w:rsidRPr="00082F7B" w:rsidRDefault="009A71E8" w:rsidP="00D6150B">
            <w:pPr>
              <w:jc w:val="center"/>
              <w:rPr>
                <w:rFonts w:asciiTheme="majorHAnsi" w:hAnsiTheme="majorHAnsi" w:cstheme="minorHAnsi"/>
                <w:sz w:val="24"/>
                <w:szCs w:val="24"/>
              </w:rPr>
            </w:pPr>
          </w:p>
        </w:tc>
      </w:tr>
    </w:tbl>
    <w:p w14:paraId="22598BC5" w14:textId="77777777" w:rsidR="00F71D0E" w:rsidRPr="00082F7B" w:rsidRDefault="00F71D0E" w:rsidP="00F653C8">
      <w:pPr>
        <w:spacing w:after="0" w:line="240" w:lineRule="auto"/>
        <w:jc w:val="both"/>
        <w:rPr>
          <w:rFonts w:asciiTheme="majorHAnsi" w:hAnsiTheme="majorHAnsi" w:cstheme="minorHAnsi"/>
          <w:b/>
          <w:sz w:val="24"/>
          <w:szCs w:val="24"/>
        </w:rPr>
      </w:pPr>
    </w:p>
    <w:p w14:paraId="6053CED2" w14:textId="77777777" w:rsidR="00D368B8" w:rsidRPr="00082F7B" w:rsidRDefault="00D368B8" w:rsidP="00F653C8">
      <w:pPr>
        <w:spacing w:after="0" w:line="240" w:lineRule="auto"/>
        <w:jc w:val="both"/>
        <w:rPr>
          <w:rFonts w:asciiTheme="majorHAnsi" w:hAnsiTheme="majorHAnsi" w:cstheme="minorHAnsi"/>
          <w:b/>
          <w:sz w:val="24"/>
          <w:szCs w:val="24"/>
        </w:rPr>
      </w:pPr>
    </w:p>
    <w:p w14:paraId="0A32285B" w14:textId="77777777" w:rsidR="00F653C8" w:rsidRPr="00082F7B" w:rsidRDefault="00F653C8" w:rsidP="009474E6">
      <w:pPr>
        <w:pStyle w:val="Heading2"/>
        <w:rPr>
          <w:rFonts w:asciiTheme="majorHAnsi" w:hAnsiTheme="majorHAnsi"/>
          <w:szCs w:val="24"/>
        </w:rPr>
      </w:pPr>
      <w:bookmarkStart w:id="12" w:name="_Toc459633515"/>
      <w:r w:rsidRPr="00082F7B">
        <w:rPr>
          <w:rFonts w:asciiTheme="majorHAnsi" w:hAnsiTheme="majorHAnsi"/>
          <w:szCs w:val="24"/>
        </w:rPr>
        <w:t>Morfološko-hidrološke i klimatske prilike</w:t>
      </w:r>
      <w:bookmarkEnd w:id="12"/>
    </w:p>
    <w:p w14:paraId="4142EB46" w14:textId="77777777" w:rsidR="00F653C8" w:rsidRPr="00082F7B" w:rsidRDefault="00F653C8" w:rsidP="00F653C8">
      <w:pPr>
        <w:spacing w:after="0" w:line="240" w:lineRule="auto"/>
        <w:rPr>
          <w:rFonts w:asciiTheme="majorHAnsi" w:hAnsiTheme="majorHAnsi" w:cs="Arial"/>
          <w:sz w:val="24"/>
          <w:szCs w:val="24"/>
          <w:lang w:val="sr-Latn-CS"/>
        </w:rPr>
      </w:pPr>
    </w:p>
    <w:p w14:paraId="3F48A975"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Ležište tehničko-građevinskog kamena</w:t>
      </w:r>
      <w:r w:rsidRPr="00082F7B">
        <w:rPr>
          <w:rFonts w:asciiTheme="majorHAnsi" w:hAnsiTheme="majorHAnsi" w:cstheme="minorHAnsi"/>
          <w:sz w:val="24"/>
          <w:szCs w:val="24"/>
          <w:lang w:val="sr-Latn-CS"/>
        </w:rPr>
        <w:t xml:space="preserve"> (krečnjak)</w:t>
      </w:r>
      <w:r w:rsidRPr="00082F7B">
        <w:rPr>
          <w:rFonts w:asciiTheme="majorHAnsi" w:hAnsiTheme="majorHAnsi"/>
          <w:sz w:val="24"/>
          <w:szCs w:val="24"/>
          <w:lang w:val="sr-Latn-CS"/>
        </w:rPr>
        <w:t xml:space="preserve"> “Štitarica - Taskavac”</w:t>
      </w:r>
      <w:r w:rsidRPr="00082F7B">
        <w:rPr>
          <w:rFonts w:asciiTheme="majorHAnsi" w:hAnsiTheme="majorHAnsi" w:cstheme="minorHAnsi"/>
          <w:sz w:val="24"/>
          <w:szCs w:val="24"/>
          <w:lang w:val="sr-Latn-CS"/>
        </w:rPr>
        <w:t xml:space="preserve"> i širi prostor Štitarice </w:t>
      </w:r>
      <w:r w:rsidRPr="00082F7B">
        <w:rPr>
          <w:rFonts w:asciiTheme="majorHAnsi" w:hAnsiTheme="majorHAnsi"/>
          <w:sz w:val="24"/>
          <w:szCs w:val="24"/>
          <w:lang w:val="sr-Latn-CS"/>
        </w:rPr>
        <w:t>morfološki pripada planinskim i planinsko-brdskim predjelima Crne Gore. Nalazi se na sjeveroistočnim padinama planine Sinjavine, odnosno u donjem dijelu korita Štitaričke rijeke. Sinjavina sa susjednim planinski masivima, u ovom dijelu Crne Gore, pripada Dinarskom planinskom sistemu. Ovaj planinski sistem karakteriše se morfološki izraženim planinskim vrhovima, grebenima i riječnim dolinama.</w:t>
      </w:r>
    </w:p>
    <w:p w14:paraId="6199BCDA" w14:textId="77777777" w:rsidR="009A71E8" w:rsidRPr="00082F7B" w:rsidRDefault="009A71E8" w:rsidP="009A71E8">
      <w:pPr>
        <w:spacing w:after="0" w:line="240" w:lineRule="auto"/>
        <w:jc w:val="both"/>
        <w:rPr>
          <w:rFonts w:asciiTheme="majorHAnsi" w:hAnsiTheme="majorHAnsi"/>
          <w:sz w:val="24"/>
          <w:szCs w:val="24"/>
          <w:lang w:val="sr-Latn-CS"/>
        </w:rPr>
      </w:pPr>
    </w:p>
    <w:p w14:paraId="61EEDEBF"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Teren ležišta tehničko-građevinskog kamena</w:t>
      </w:r>
      <w:r w:rsidRPr="00082F7B">
        <w:rPr>
          <w:rFonts w:asciiTheme="majorHAnsi" w:hAnsiTheme="majorHAnsi" w:cstheme="minorHAnsi"/>
          <w:sz w:val="24"/>
          <w:szCs w:val="24"/>
          <w:lang w:val="sr-Latn-CS"/>
        </w:rPr>
        <w:t xml:space="preserve"> (krečnjak)</w:t>
      </w:r>
      <w:r w:rsidRPr="00082F7B">
        <w:rPr>
          <w:rFonts w:asciiTheme="majorHAnsi" w:hAnsiTheme="majorHAnsi"/>
          <w:sz w:val="24"/>
          <w:szCs w:val="24"/>
          <w:lang w:val="sr-Latn-CS"/>
        </w:rPr>
        <w:t xml:space="preserve"> “Štitarica - Taskavac” graniči se sa juga i istoka uzvišenjem Gradac sa svojim ograncima do rijeke Tare. Sa sjevera i zapada ovo ležište tehničko-građevinskog kamena ograničavaju planinska uzvišenja Mali Prepran i Okrugliči krš, sa Štitaričkom rijekom.</w:t>
      </w:r>
    </w:p>
    <w:p w14:paraId="23E42047" w14:textId="77777777" w:rsidR="009A71E8" w:rsidRPr="00082F7B" w:rsidRDefault="009A71E8" w:rsidP="009A71E8">
      <w:pPr>
        <w:spacing w:after="0" w:line="240" w:lineRule="auto"/>
        <w:jc w:val="both"/>
        <w:rPr>
          <w:rFonts w:asciiTheme="majorHAnsi" w:hAnsiTheme="majorHAnsi"/>
          <w:sz w:val="24"/>
          <w:szCs w:val="24"/>
          <w:lang w:val="sr-Latn-CS"/>
        </w:rPr>
      </w:pPr>
    </w:p>
    <w:p w14:paraId="01B703F0"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lastRenderedPageBreak/>
        <w:t>Širi prostor ležišta “Štitarica - Taskavac” karakterišu izraziti morfološki oblici, kao što su: Krš Taskavac (972,8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Okruglički krš (1.072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Gradac (1.364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Mali Prepran (1.050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i većim dijelom svoga toga duboki kanjon Štitaričke rijeke. Uzvišenja, kao što su Taskavac i Okruglički krš, imaju izrazito strme padine prema Štitaričkoj rijeci, a to je odlika terena izrazito planinskog tipa.</w:t>
      </w:r>
    </w:p>
    <w:p w14:paraId="651EADE1" w14:textId="77777777" w:rsidR="009A71E8" w:rsidRPr="00082F7B" w:rsidRDefault="009A71E8" w:rsidP="009A71E8">
      <w:pPr>
        <w:spacing w:after="0" w:line="240" w:lineRule="auto"/>
        <w:jc w:val="both"/>
        <w:rPr>
          <w:rFonts w:asciiTheme="majorHAnsi" w:hAnsiTheme="majorHAnsi"/>
          <w:sz w:val="24"/>
          <w:szCs w:val="24"/>
          <w:lang w:val="sr-Latn-CS"/>
        </w:rPr>
      </w:pPr>
    </w:p>
    <w:p w14:paraId="65018A92"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Osim navedenih morfoloških oblika, istočno od uzvišenje Taskavac nalazi se dobro izražena terasa, koja je od Štitaričke rijeke i aluvijalnog nanosa izdignuta i preko 20 m. To je šljunkovito-konglomeratična terasa fluvioglacijalnog porijekla.</w:t>
      </w:r>
    </w:p>
    <w:p w14:paraId="072E0139" w14:textId="77777777" w:rsidR="009A71E8" w:rsidRPr="00082F7B" w:rsidRDefault="009A71E8" w:rsidP="009A71E8">
      <w:pPr>
        <w:spacing w:after="0" w:line="240" w:lineRule="auto"/>
        <w:jc w:val="both"/>
        <w:rPr>
          <w:rFonts w:asciiTheme="majorHAnsi" w:hAnsiTheme="majorHAnsi"/>
          <w:sz w:val="24"/>
          <w:szCs w:val="24"/>
          <w:lang w:val="sr-Latn-CS"/>
        </w:rPr>
      </w:pPr>
    </w:p>
    <w:p w14:paraId="0AF196B1" w14:textId="77777777" w:rsidR="009A71E8" w:rsidRPr="00082F7B" w:rsidRDefault="009A71E8" w:rsidP="009A71E8">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Štitarička rijeka pripada slivu rijeke Tare i predstavlja njenu lijevu pritoku, koja je na prostoru između Gradca i Okrugličkog krša, usjekla kanjon, čija dubina dostiže mjestimično preko 100 m. Štitarička rijeka se formira od niza stalnih i povremenih izvora, koji se nalaze na padinama Sinjavine i više manjih stalnih i povremenih tokova, kao što su Pražića potok, Suvi potok, Tabljički potok i dr. Slivno područje ove rijeke obuhvata površinu od oko 52 km</w:t>
      </w:r>
      <w:r w:rsidRPr="00082F7B">
        <w:rPr>
          <w:rFonts w:asciiTheme="majorHAnsi" w:hAnsiTheme="majorHAnsi"/>
          <w:sz w:val="24"/>
          <w:szCs w:val="24"/>
          <w:vertAlign w:val="superscript"/>
          <w:lang w:val="sr-Latn-CS"/>
        </w:rPr>
        <w:t>2</w:t>
      </w:r>
      <w:r w:rsidRPr="00082F7B">
        <w:rPr>
          <w:rFonts w:asciiTheme="majorHAnsi" w:hAnsiTheme="majorHAnsi"/>
          <w:sz w:val="24"/>
          <w:szCs w:val="24"/>
          <w:lang w:val="sr-Latn-CS"/>
        </w:rPr>
        <w:t>. U donjem dijelu sliva Štitarička rijeka drenira terene izgrađene od slabo propusnih i nepropusnih paleozojskih sedimenata i vulkanita.</w:t>
      </w:r>
    </w:p>
    <w:p w14:paraId="712EB381" w14:textId="77777777" w:rsidR="00AE6B64" w:rsidRPr="00082F7B" w:rsidRDefault="00AE6B64" w:rsidP="009A71E8">
      <w:pPr>
        <w:spacing w:after="0" w:line="240" w:lineRule="auto"/>
        <w:jc w:val="both"/>
        <w:rPr>
          <w:rFonts w:asciiTheme="majorHAnsi" w:hAnsiTheme="majorHAnsi"/>
          <w:sz w:val="24"/>
          <w:szCs w:val="24"/>
          <w:lang w:val="sr-Latn-CS"/>
        </w:rPr>
      </w:pPr>
    </w:p>
    <w:p w14:paraId="27A94657" w14:textId="77777777" w:rsidR="00AE6B64" w:rsidRPr="00082F7B" w:rsidRDefault="00AE6B64" w:rsidP="00AE6B64">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Klima područja opštine Mojkovac definisana je geografskim položajem i mојкоvački kraj se nalazi u zoni planinskog kontinentalnog klimatskog pojasa. Naselje Mojkovac neznatno osjeća primorski klimatski uticaj i ima umjereno – kontinentalne klimatske odlike, na koje znatno utiče reljef, te je klima planinske okoline Mojkovca kontinentalno-planinska i subplaninska. Na klimu bitno utiču i nagibi i ekspozicija terena tako da morfologija Mojkovačkog proširenja doline Tare pogoduje stvaranju “jezera” hladnog vazduha u zimskim mjesecima, kada se temperature spuštaju i ispod -10˚C. </w:t>
      </w:r>
    </w:p>
    <w:p w14:paraId="23FC2F6E" w14:textId="77777777" w:rsidR="00AE6B64" w:rsidRPr="00082F7B" w:rsidRDefault="00AE6B64" w:rsidP="00AE6B64">
      <w:pPr>
        <w:spacing w:line="240" w:lineRule="auto"/>
        <w:jc w:val="both"/>
        <w:rPr>
          <w:rFonts w:asciiTheme="majorHAnsi" w:hAnsiTheme="majorHAnsi" w:cstheme="minorHAnsi"/>
          <w:b/>
          <w:sz w:val="24"/>
          <w:szCs w:val="24"/>
          <w:lang w:val="sr-Latn-CS"/>
        </w:rPr>
      </w:pPr>
      <w:r w:rsidRPr="00082F7B">
        <w:rPr>
          <w:rFonts w:asciiTheme="majorHAnsi" w:hAnsiTheme="majorHAnsi"/>
          <w:sz w:val="24"/>
          <w:szCs w:val="24"/>
          <w:lang w:val="sr-Latn-CS"/>
        </w:rPr>
        <w:t xml:space="preserve">U Mojkovcu je odnedavno postavljena hidrometeorološka stanica, tako da će ubuduće praćenje podataka o klimatskim elementima biti preciznije. </w:t>
      </w:r>
      <w:r w:rsidRPr="00082F7B">
        <w:rPr>
          <w:rFonts w:asciiTheme="majorHAnsi" w:hAnsiTheme="majorHAnsi"/>
          <w:sz w:val="24"/>
          <w:szCs w:val="24"/>
        </w:rPr>
        <w:t>Štitarica prosječno godišnje dobija 1.889 mm padavina, Mojkovac 1.649 mm, a Donja Dobrilovina 1.121 mm. Broj sniježnih dana u godini se kreće oko 120, a visina sniježnog pokrivača dostiže do 150 cm, a na planinama znatno više.</w:t>
      </w:r>
    </w:p>
    <w:p w14:paraId="1CB44ECD" w14:textId="77777777" w:rsidR="00AE6B64" w:rsidRPr="00082F7B" w:rsidRDefault="00AE6B64" w:rsidP="00AE6B64">
      <w:pPr>
        <w:spacing w:line="240" w:lineRule="auto"/>
        <w:jc w:val="both"/>
        <w:rPr>
          <w:rFonts w:asciiTheme="majorHAnsi" w:hAnsiTheme="majorHAnsi" w:cstheme="minorHAnsi"/>
          <w:sz w:val="24"/>
          <w:szCs w:val="24"/>
        </w:rPr>
      </w:pPr>
      <w:r w:rsidRPr="00082F7B">
        <w:rPr>
          <w:rFonts w:asciiTheme="majorHAnsi" w:hAnsiTheme="majorHAnsi" w:cstheme="minorHAnsi"/>
          <w:sz w:val="24"/>
          <w:szCs w:val="24"/>
          <w:lang w:val="sr-Latn-CS"/>
        </w:rPr>
        <w:t xml:space="preserve">Područje Mojkovca spada u područja velike oblačnosti, posebno povećana u hladnom dijelu godine. </w:t>
      </w:r>
      <w:r w:rsidRPr="00082F7B">
        <w:rPr>
          <w:rFonts w:asciiTheme="majorHAnsi" w:hAnsiTheme="majorHAnsi" w:cstheme="minorHAnsi"/>
          <w:sz w:val="24"/>
          <w:szCs w:val="24"/>
        </w:rPr>
        <w:t>Relativna vlažnost se poklapa sa oblačnošću područja i u granicama je od 70-80%.</w:t>
      </w:r>
    </w:p>
    <w:p w14:paraId="4C3FDF05" w14:textId="77777777" w:rsidR="00AE6B64" w:rsidRPr="00082F7B" w:rsidRDefault="00AE6B64" w:rsidP="00AE6B64">
      <w:pPr>
        <w:spacing w:line="240" w:lineRule="auto"/>
        <w:jc w:val="both"/>
        <w:rPr>
          <w:rFonts w:asciiTheme="majorHAnsi" w:hAnsiTheme="majorHAnsi" w:cstheme="minorHAnsi"/>
          <w:b/>
          <w:sz w:val="24"/>
          <w:szCs w:val="24"/>
        </w:rPr>
      </w:pPr>
      <w:r w:rsidRPr="00082F7B">
        <w:rPr>
          <w:rFonts w:asciiTheme="majorHAnsi" w:hAnsiTheme="majorHAnsi" w:cstheme="minorHAnsi"/>
          <w:sz w:val="24"/>
          <w:szCs w:val="24"/>
        </w:rPr>
        <w:t>Mojkovačko područje prima godišnje prosečno do 2200mm padavina. Padavine su ravnomjerno raspoređene tokom godine. Izraženije su zimi nego ljeti, a jul i avgust su najsušniji mjeseci. Zimi se padavine</w:t>
      </w:r>
      <w:r w:rsidR="008F797A" w:rsidRPr="00082F7B">
        <w:rPr>
          <w:rFonts w:asciiTheme="majorHAnsi" w:hAnsiTheme="majorHAnsi" w:cstheme="minorHAnsi"/>
          <w:sz w:val="24"/>
          <w:szCs w:val="24"/>
        </w:rPr>
        <w:t>,</w:t>
      </w:r>
      <w:r w:rsidRPr="00082F7B">
        <w:rPr>
          <w:rFonts w:asciiTheme="majorHAnsi" w:hAnsiTheme="majorHAnsi" w:cstheme="minorHAnsi"/>
          <w:sz w:val="24"/>
          <w:szCs w:val="24"/>
        </w:rPr>
        <w:t xml:space="preserve"> uglavnom</w:t>
      </w:r>
      <w:r w:rsidR="008F797A" w:rsidRPr="00082F7B">
        <w:rPr>
          <w:rFonts w:asciiTheme="majorHAnsi" w:hAnsiTheme="majorHAnsi" w:cstheme="minorHAnsi"/>
          <w:sz w:val="24"/>
          <w:szCs w:val="24"/>
        </w:rPr>
        <w:t>,</w:t>
      </w:r>
      <w:r w:rsidRPr="00082F7B">
        <w:rPr>
          <w:rFonts w:asciiTheme="majorHAnsi" w:hAnsiTheme="majorHAnsi" w:cstheme="minorHAnsi"/>
          <w:sz w:val="24"/>
          <w:szCs w:val="24"/>
        </w:rPr>
        <w:t xml:space="preserve"> izlučuju u vidu snijega u visoko-planinskim zonama, dok u Mojkovcu istovremeno češće pada kiša.</w:t>
      </w:r>
    </w:p>
    <w:p w14:paraId="495BA6C5" w14:textId="77777777" w:rsidR="00AE6B64" w:rsidRPr="00082F7B" w:rsidRDefault="00AE6B64" w:rsidP="008F797A">
      <w:pPr>
        <w:spacing w:line="240" w:lineRule="auto"/>
        <w:jc w:val="both"/>
        <w:rPr>
          <w:rFonts w:asciiTheme="majorHAnsi" w:hAnsiTheme="majorHAnsi" w:cstheme="minorHAnsi"/>
          <w:sz w:val="24"/>
          <w:szCs w:val="24"/>
        </w:rPr>
      </w:pPr>
      <w:r w:rsidRPr="00082F7B">
        <w:rPr>
          <w:rFonts w:asciiTheme="majorHAnsi" w:hAnsiTheme="majorHAnsi" w:cstheme="minorHAnsi"/>
          <w:sz w:val="24"/>
          <w:szCs w:val="24"/>
        </w:rPr>
        <w:t>Na potezu Kolašin – Mojkovac duvaju sjeverni, sjeverozapadni i južni vjetrovi, dok na planinama duvaju vjetrovi iz svih pravaca. Južni vjetar, kao jedan od najizraženijih vjetrova</w:t>
      </w:r>
      <w:r w:rsidR="008F797A" w:rsidRPr="00082F7B">
        <w:rPr>
          <w:rFonts w:asciiTheme="majorHAnsi" w:hAnsiTheme="majorHAnsi" w:cstheme="minorHAnsi"/>
          <w:sz w:val="24"/>
          <w:szCs w:val="24"/>
        </w:rPr>
        <w:t>,</w:t>
      </w:r>
      <w:r w:rsidRPr="00082F7B">
        <w:rPr>
          <w:rFonts w:asciiTheme="majorHAnsi" w:hAnsiTheme="majorHAnsi" w:cstheme="minorHAnsi"/>
          <w:sz w:val="24"/>
          <w:szCs w:val="24"/>
        </w:rPr>
        <w:t xml:space="preserve"> ima veliki uticaj na klimu Mojkovca- kada on duva dolazi do naglog otapanja snijega i porasta temperature.</w:t>
      </w:r>
    </w:p>
    <w:p w14:paraId="5C19B93E" w14:textId="77777777" w:rsidR="00F653C8" w:rsidRPr="00082F7B" w:rsidRDefault="00F653C8" w:rsidP="009474E6">
      <w:pPr>
        <w:pStyle w:val="Heading2"/>
        <w:rPr>
          <w:rFonts w:asciiTheme="majorHAnsi" w:hAnsiTheme="majorHAnsi"/>
          <w:szCs w:val="24"/>
          <w:lang w:val="sr-Latn-CS"/>
        </w:rPr>
      </w:pPr>
      <w:bookmarkStart w:id="13" w:name="_Toc402262928"/>
      <w:bookmarkStart w:id="14" w:name="_Toc459633516"/>
      <w:r w:rsidRPr="00082F7B">
        <w:rPr>
          <w:rFonts w:asciiTheme="majorHAnsi" w:hAnsiTheme="majorHAnsi"/>
          <w:szCs w:val="24"/>
          <w:lang w:val="sr-Latn-CS"/>
        </w:rPr>
        <w:lastRenderedPageBreak/>
        <w:t>Podaci o imovinsko-pravnim odnosima</w:t>
      </w:r>
      <w:bookmarkEnd w:id="13"/>
      <w:bookmarkEnd w:id="14"/>
    </w:p>
    <w:p w14:paraId="61E46C05" w14:textId="77777777" w:rsidR="00F653C8" w:rsidRPr="00082F7B" w:rsidRDefault="00F653C8" w:rsidP="00F653C8">
      <w:pPr>
        <w:spacing w:after="0" w:line="240" w:lineRule="auto"/>
        <w:rPr>
          <w:rFonts w:asciiTheme="majorHAnsi" w:hAnsiTheme="majorHAnsi"/>
          <w:sz w:val="24"/>
          <w:szCs w:val="24"/>
          <w:lang w:val="sr-Latn-CS"/>
        </w:rPr>
      </w:pPr>
    </w:p>
    <w:p w14:paraId="1310D642" w14:textId="77777777" w:rsidR="009474E6" w:rsidRPr="00082F7B" w:rsidRDefault="009474E6" w:rsidP="009474E6">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AD „Crnagoraput“ - Podgorica ima pravo trajnog korišćenja zemljišta na kome će se izvoditi eksploatacioni radovi (Rješenje o prenosu zemljišta, br. 05-22/99 od 04.09.1990. godine, izdato od strane opštine Mojkovac i Ugovor o naknadi za ustupljeno zemljište, br. 01-6375 od 10.09.1990. godine).</w:t>
      </w:r>
    </w:p>
    <w:p w14:paraId="07F85EAC" w14:textId="77777777" w:rsidR="009474E6" w:rsidRPr="00082F7B" w:rsidRDefault="009474E6" w:rsidP="009474E6">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rPr>
        <w:t>Shodno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lanu</w:t>
      </w:r>
      <w:r w:rsidRPr="00082F7B">
        <w:rPr>
          <w:rFonts w:asciiTheme="majorHAnsi" w:hAnsiTheme="majorHAnsi" w:cstheme="minorHAnsi"/>
          <w:sz w:val="24"/>
          <w:szCs w:val="24"/>
          <w:lang w:val="sr-Latn-CS"/>
        </w:rPr>
        <w:t xml:space="preserve"> 44 </w:t>
      </w:r>
      <w:r w:rsidRPr="00082F7B">
        <w:rPr>
          <w:rFonts w:asciiTheme="majorHAnsi" w:hAnsiTheme="majorHAnsi" w:cstheme="minorHAnsi"/>
          <w:sz w:val="24"/>
          <w:szCs w:val="24"/>
        </w:rPr>
        <w:t>Zakona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koncesijama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ako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vezi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kori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enjem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mora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izvr</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iti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eksproprijacija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nepokretnosti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odnosno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ure</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enje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gra</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evinskog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zemlji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tro</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kovi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nac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in</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rokovi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plac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anja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naknade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eksproprijaciju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nepokretnosti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odnosno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ure</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enja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gra</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evinskog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zemlji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utvr</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uju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sprovode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skladu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zakonom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Ukoliko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vlasnik</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zemlji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koncedent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vr</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eksproprijacija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vec</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smatra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koncesionar</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dobijanjem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dobio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saglasnost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njegovo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kori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enje</w:t>
      </w:r>
      <w:r w:rsidRPr="00082F7B">
        <w:rPr>
          <w:rFonts w:asciiTheme="majorHAnsi" w:hAnsiTheme="majorHAnsi" w:cstheme="minorHAnsi"/>
          <w:sz w:val="24"/>
          <w:szCs w:val="24"/>
          <w:lang w:val="sr-Latn-CS"/>
        </w:rPr>
        <w:t xml:space="preserve">. </w:t>
      </w:r>
    </w:p>
    <w:p w14:paraId="5E54A4E7" w14:textId="77777777" w:rsidR="009474E6" w:rsidRPr="00082F7B" w:rsidRDefault="009474E6" w:rsidP="009474E6">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rPr>
        <w:t>Me</w:t>
      </w:r>
      <w:r w:rsidRPr="00082F7B">
        <w:rPr>
          <w:rFonts w:asciiTheme="majorHAnsi" w:hAnsiTheme="majorHAnsi" w:cstheme="minorHAnsi"/>
          <w:sz w:val="24"/>
          <w:szCs w:val="24"/>
          <w:lang w:val="sr-Latn-CS"/>
        </w:rPr>
        <w:t>đ</w:t>
      </w:r>
      <w:r w:rsidRPr="00082F7B">
        <w:rPr>
          <w:rFonts w:asciiTheme="majorHAnsi" w:hAnsiTheme="majorHAnsi" w:cstheme="minorHAnsi"/>
          <w:sz w:val="24"/>
          <w:szCs w:val="24"/>
        </w:rPr>
        <w:t>utim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buduc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Zakonom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rudarstvu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Sl</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list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CG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br</w:t>
      </w:r>
      <w:r w:rsidRPr="00082F7B">
        <w:rPr>
          <w:rFonts w:asciiTheme="majorHAnsi" w:hAnsiTheme="majorHAnsi" w:cstheme="minorHAnsi"/>
          <w:sz w:val="24"/>
          <w:szCs w:val="24"/>
          <w:lang w:val="sr-Latn-CS"/>
        </w:rPr>
        <w:t xml:space="preserve">. 65/08, 74/10 </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40/11), </w:t>
      </w:r>
      <w:r w:rsidRPr="00082F7B">
        <w:rPr>
          <w:rFonts w:asciiTheme="majorHAnsi" w:hAnsiTheme="majorHAnsi" w:cstheme="minorHAnsi"/>
          <w:sz w:val="24"/>
          <w:szCs w:val="24"/>
        </w:rPr>
        <w:t>eksploatacija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mineralnih</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sirovina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definisana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kao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javni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interes</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odnosno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shodno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Zakonu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eksprorijaciji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Sl</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list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Sl</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list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RCG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br</w:t>
      </w:r>
      <w:r w:rsidRPr="00082F7B">
        <w:rPr>
          <w:rFonts w:asciiTheme="majorHAnsi" w:hAnsiTheme="majorHAnsi" w:cstheme="minorHAnsi"/>
          <w:sz w:val="24"/>
          <w:szCs w:val="24"/>
          <w:lang w:val="sr-Latn-CS"/>
        </w:rPr>
        <w:t xml:space="preserve">. 55/00; 12/02, 28/06 </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Sl</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list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CG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br</w:t>
      </w:r>
      <w:r w:rsidRPr="00082F7B">
        <w:rPr>
          <w:rFonts w:asciiTheme="majorHAnsi" w:hAnsiTheme="majorHAnsi" w:cstheme="minorHAnsi"/>
          <w:sz w:val="24"/>
          <w:szCs w:val="24"/>
          <w:lang w:val="sr-Latn-CS"/>
        </w:rPr>
        <w:t xml:space="preserve">. 21/08), </w:t>
      </w:r>
      <w:r w:rsidRPr="00082F7B">
        <w:rPr>
          <w:rFonts w:asciiTheme="majorHAnsi" w:hAnsiTheme="majorHAnsi" w:cstheme="minorHAnsi"/>
          <w:sz w:val="24"/>
          <w:szCs w:val="24"/>
        </w:rPr>
        <w:t>korisnici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eksproprijacije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mogu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biti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privatna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lica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postoji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zakonska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moguc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nost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vr</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enja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eksproprijacije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prostora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obuhvac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enih</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predmetnim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le</w:t>
      </w:r>
      <w:r w:rsidRPr="00082F7B">
        <w:rPr>
          <w:rFonts w:asciiTheme="majorHAnsi" w:hAnsiTheme="majorHAnsi" w:cstheme="minorHAnsi"/>
          <w:sz w:val="24"/>
          <w:szCs w:val="24"/>
          <w:lang w:val="sr-Latn-CS"/>
        </w:rPr>
        <w:t>ž</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tem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cilju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vr</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enja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eksploatacije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mineralnih</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sirovina</w:t>
      </w:r>
      <w:r w:rsidRPr="00082F7B">
        <w:rPr>
          <w:rFonts w:asciiTheme="majorHAnsi" w:hAnsiTheme="majorHAnsi" w:cstheme="minorHAnsi"/>
          <w:sz w:val="24"/>
          <w:szCs w:val="24"/>
          <w:lang w:val="sr-Latn-CS"/>
        </w:rPr>
        <w:t xml:space="preserve">. </w:t>
      </w:r>
    </w:p>
    <w:p w14:paraId="70472980" w14:textId="77777777" w:rsidR="009474E6" w:rsidRPr="00082F7B" w:rsidRDefault="009474E6" w:rsidP="009474E6">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rPr>
        <w:t>Stoga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iskljuc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iva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odgovornost</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obaveza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buduc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koncesionara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cilju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vr</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enja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eksploatacije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mineralnih</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sirovina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rije</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imovinsko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pravne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odnose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prostora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obuhvac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enog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predmetnim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le</w:t>
      </w:r>
      <w:r w:rsidRPr="00082F7B">
        <w:rPr>
          <w:rFonts w:asciiTheme="majorHAnsi" w:hAnsiTheme="majorHAnsi" w:cstheme="minorHAnsi"/>
          <w:sz w:val="24"/>
          <w:szCs w:val="24"/>
          <w:lang w:val="sr-Latn-CS"/>
        </w:rPr>
        <w:t>ž</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tem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iz</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ovog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Koncesionog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akta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mo</w:t>
      </w:r>
      <w:r w:rsidRPr="00082F7B">
        <w:rPr>
          <w:rFonts w:asciiTheme="majorHAnsi" w:hAnsiTheme="majorHAnsi" w:cstheme="minorHAnsi"/>
          <w:sz w:val="24"/>
          <w:szCs w:val="24"/>
          <w:lang w:val="sr-Latn-CS"/>
        </w:rPr>
        <w:t>ž</w:t>
      </w:r>
      <w:r w:rsidRPr="00082F7B">
        <w:rPr>
          <w:rFonts w:asciiTheme="majorHAnsi" w:hAnsiTheme="majorHAnsi" w:cstheme="minorHAnsi"/>
          <w:sz w:val="24"/>
          <w:szCs w:val="24"/>
        </w:rPr>
        <w:t>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smatrati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kao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obec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anjem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ili</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buduc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om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obavezom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koncedenta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da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za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potrebe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buduc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eg</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koncesionara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rje</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ava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imovinsko</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pravne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odnose</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na</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prostoru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obuhvac</w:t>
      </w:r>
      <w:r w:rsidRPr="00082F7B">
        <w:rPr>
          <w:rFonts w:asciiTheme="majorHAnsi" w:hAnsiTheme="majorHAnsi" w:cstheme="minorHAnsi"/>
          <w:sz w:val="24"/>
          <w:szCs w:val="24"/>
          <w:lang w:val="sr-Latn-CS"/>
        </w:rPr>
        <w:t>́</w:t>
      </w:r>
      <w:r w:rsidRPr="00082F7B">
        <w:rPr>
          <w:rFonts w:asciiTheme="majorHAnsi" w:hAnsiTheme="majorHAnsi" w:cstheme="minorHAnsi"/>
          <w:sz w:val="24"/>
          <w:szCs w:val="24"/>
        </w:rPr>
        <w:t>enom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predmetnim</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rPr>
        <w:t>le</w:t>
      </w:r>
      <w:r w:rsidRPr="00082F7B">
        <w:rPr>
          <w:rFonts w:asciiTheme="majorHAnsi" w:hAnsiTheme="majorHAnsi" w:cstheme="minorHAnsi"/>
          <w:sz w:val="24"/>
          <w:szCs w:val="24"/>
          <w:lang w:val="sr-Latn-CS"/>
        </w:rPr>
        <w:t>ž</w:t>
      </w:r>
      <w:r w:rsidRPr="00082F7B">
        <w:rPr>
          <w:rFonts w:asciiTheme="majorHAnsi" w:hAnsiTheme="majorHAnsi" w:cstheme="minorHAnsi"/>
          <w:sz w:val="24"/>
          <w:szCs w:val="24"/>
        </w:rPr>
        <w:t>i</w:t>
      </w:r>
      <w:r w:rsidRPr="00082F7B">
        <w:rPr>
          <w:rFonts w:asciiTheme="majorHAnsi" w:hAnsiTheme="majorHAnsi" w:cstheme="minorHAnsi"/>
          <w:sz w:val="24"/>
          <w:szCs w:val="24"/>
          <w:lang w:val="sr-Latn-CS"/>
        </w:rPr>
        <w:t>š</w:t>
      </w:r>
      <w:r w:rsidRPr="00082F7B">
        <w:rPr>
          <w:rFonts w:asciiTheme="majorHAnsi" w:hAnsiTheme="majorHAnsi" w:cstheme="minorHAnsi"/>
          <w:sz w:val="24"/>
          <w:szCs w:val="24"/>
        </w:rPr>
        <w:t>tem</w:t>
      </w:r>
      <w:r w:rsidRPr="00082F7B">
        <w:rPr>
          <w:rFonts w:asciiTheme="majorHAnsi" w:hAnsiTheme="majorHAnsi" w:cstheme="minorHAnsi"/>
          <w:sz w:val="24"/>
          <w:szCs w:val="24"/>
          <w:lang w:val="sr-Latn-CS"/>
        </w:rPr>
        <w:t xml:space="preserve">. </w:t>
      </w:r>
    </w:p>
    <w:p w14:paraId="75100FCE" w14:textId="77777777" w:rsidR="00F653C8" w:rsidRPr="00082F7B" w:rsidRDefault="00F653C8" w:rsidP="00F653C8">
      <w:pPr>
        <w:spacing w:after="0" w:line="240" w:lineRule="auto"/>
        <w:jc w:val="both"/>
        <w:rPr>
          <w:rFonts w:asciiTheme="majorHAnsi" w:hAnsiTheme="majorHAnsi" w:cstheme="minorHAnsi"/>
          <w:sz w:val="24"/>
          <w:szCs w:val="24"/>
          <w:lang w:val="sr-Latn-CS"/>
        </w:rPr>
      </w:pPr>
    </w:p>
    <w:p w14:paraId="043B38DE" w14:textId="77777777" w:rsidR="00937C4A" w:rsidRPr="00082F7B" w:rsidRDefault="00BE4431" w:rsidP="009474E6">
      <w:pPr>
        <w:pStyle w:val="Heading2"/>
        <w:rPr>
          <w:rFonts w:asciiTheme="majorHAnsi" w:hAnsiTheme="majorHAnsi"/>
          <w:szCs w:val="24"/>
          <w:lang w:val="sr-Latn-CS"/>
        </w:rPr>
      </w:pPr>
      <w:bookmarkStart w:id="15" w:name="_Toc402262929"/>
      <w:bookmarkStart w:id="16" w:name="_Toc459633517"/>
      <w:r w:rsidRPr="00082F7B">
        <w:rPr>
          <w:rFonts w:asciiTheme="majorHAnsi" w:hAnsiTheme="majorHAnsi"/>
          <w:szCs w:val="24"/>
          <w:lang w:val="sr-Latn-CS"/>
        </w:rPr>
        <w:t xml:space="preserve">Podaci iz prostorno–urbanističke </w:t>
      </w:r>
      <w:r w:rsidR="00F653C8" w:rsidRPr="00082F7B">
        <w:rPr>
          <w:rFonts w:asciiTheme="majorHAnsi" w:hAnsiTheme="majorHAnsi"/>
          <w:szCs w:val="24"/>
          <w:lang w:val="sr-Latn-CS"/>
        </w:rPr>
        <w:t xml:space="preserve"> dokumentacije</w:t>
      </w:r>
      <w:bookmarkEnd w:id="15"/>
      <w:bookmarkEnd w:id="16"/>
      <w:r w:rsidR="00F653C8" w:rsidRPr="00082F7B">
        <w:rPr>
          <w:rFonts w:asciiTheme="majorHAnsi" w:hAnsiTheme="majorHAnsi"/>
          <w:szCs w:val="24"/>
          <w:lang w:val="sr-Latn-CS"/>
        </w:rPr>
        <w:t xml:space="preserve">  </w:t>
      </w:r>
    </w:p>
    <w:p w14:paraId="6F0146D5" w14:textId="77777777" w:rsidR="00D368B8" w:rsidRPr="00082F7B" w:rsidRDefault="00D368B8" w:rsidP="00D368B8">
      <w:pPr>
        <w:spacing w:after="0" w:line="240" w:lineRule="auto"/>
        <w:rPr>
          <w:rFonts w:asciiTheme="majorHAnsi" w:hAnsiTheme="majorHAnsi"/>
          <w:sz w:val="24"/>
          <w:szCs w:val="24"/>
          <w:lang w:val="sr-Latn-CS"/>
        </w:rPr>
      </w:pPr>
    </w:p>
    <w:p w14:paraId="1F073D56" w14:textId="77777777" w:rsidR="00F653C8" w:rsidRPr="00082F7B" w:rsidRDefault="008F797A" w:rsidP="008F797A">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Sekretarijat za uređ</w:t>
      </w:r>
      <w:r w:rsidR="00D368B8" w:rsidRPr="00082F7B">
        <w:rPr>
          <w:rFonts w:asciiTheme="majorHAnsi" w:hAnsiTheme="majorHAnsi" w:cstheme="minorHAnsi"/>
          <w:sz w:val="24"/>
          <w:szCs w:val="24"/>
          <w:lang w:val="sr-Latn-CS"/>
        </w:rPr>
        <w:t>enje prostora i održivi razvoj o</w:t>
      </w:r>
      <w:r w:rsidRPr="00082F7B">
        <w:rPr>
          <w:rFonts w:asciiTheme="majorHAnsi" w:hAnsiTheme="majorHAnsi" w:cstheme="minorHAnsi"/>
          <w:sz w:val="24"/>
          <w:szCs w:val="24"/>
          <w:lang w:val="sr-Latn-CS"/>
        </w:rPr>
        <w:t>pštine Mojkovac dostavio je Ministarstvu ekonomije akt, br.09-2/230-1910 od 10.12.2014. godine, sa izvodom iz Prostorno-urbanističkog plana opštine Mojkovac („Sl.list CG-opštinski propisi“, br.19/11 i 9/14) o namjeni prostora na lokaciji „Štitarica-Taskavac“.</w:t>
      </w:r>
      <w:r w:rsidRPr="00082F7B">
        <w:rPr>
          <w:rFonts w:asciiTheme="majorHAnsi" w:hAnsiTheme="majorHAnsi" w:cstheme="minorHAnsi"/>
          <w:b/>
          <w:sz w:val="24"/>
          <w:szCs w:val="24"/>
          <w:lang w:val="sr-Latn-CS"/>
        </w:rPr>
        <w:t xml:space="preserve"> Prostorno-plansko rješenje je: namjena površina je kamenolom.</w:t>
      </w:r>
    </w:p>
    <w:p w14:paraId="73C8CBB4" w14:textId="77777777" w:rsidR="00F653C8" w:rsidRPr="00082F7B" w:rsidRDefault="00F653C8" w:rsidP="00F653C8">
      <w:pPr>
        <w:spacing w:after="0" w:line="240" w:lineRule="auto"/>
        <w:jc w:val="both"/>
        <w:rPr>
          <w:rFonts w:asciiTheme="majorHAnsi" w:hAnsiTheme="majorHAnsi"/>
          <w:sz w:val="24"/>
          <w:szCs w:val="24"/>
        </w:rPr>
      </w:pPr>
    </w:p>
    <w:p w14:paraId="793BB2D2" w14:textId="77777777" w:rsidR="00F653C8" w:rsidRPr="00082F7B" w:rsidRDefault="00F653C8" w:rsidP="009474E6">
      <w:pPr>
        <w:pStyle w:val="Heading2"/>
        <w:rPr>
          <w:rFonts w:asciiTheme="majorHAnsi" w:hAnsiTheme="majorHAnsi"/>
          <w:szCs w:val="24"/>
        </w:rPr>
      </w:pPr>
      <w:bookmarkStart w:id="17" w:name="_Toc402262930"/>
      <w:bookmarkStart w:id="18" w:name="_Toc459633518"/>
      <w:r w:rsidRPr="00082F7B">
        <w:rPr>
          <w:rFonts w:asciiTheme="majorHAnsi" w:hAnsiTheme="majorHAnsi"/>
          <w:szCs w:val="24"/>
        </w:rPr>
        <w:t>Infrastrukturni objekti na istražno-eksplatacionom prostoru</w:t>
      </w:r>
      <w:bookmarkEnd w:id="17"/>
      <w:bookmarkEnd w:id="18"/>
    </w:p>
    <w:p w14:paraId="02481B01" w14:textId="77777777" w:rsidR="00F653C8" w:rsidRPr="00082F7B" w:rsidRDefault="00F653C8" w:rsidP="00F653C8">
      <w:pPr>
        <w:spacing w:after="0"/>
        <w:rPr>
          <w:rFonts w:asciiTheme="majorHAnsi" w:hAnsiTheme="majorHAnsi"/>
          <w:sz w:val="24"/>
          <w:szCs w:val="24"/>
        </w:rPr>
      </w:pPr>
    </w:p>
    <w:p w14:paraId="23409A74" w14:textId="77777777" w:rsidR="008F797A" w:rsidRPr="00082F7B" w:rsidRDefault="008F797A" w:rsidP="00E354DE">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Lež</w:t>
      </w:r>
      <w:r w:rsidR="00A27F60" w:rsidRPr="00082F7B">
        <w:rPr>
          <w:rFonts w:asciiTheme="majorHAnsi" w:hAnsiTheme="majorHAnsi"/>
          <w:sz w:val="24"/>
          <w:szCs w:val="24"/>
          <w:lang w:val="sr-Latn-CS"/>
        </w:rPr>
        <w:t>ište „Štitarica - Taskavac</w:t>
      </w:r>
      <w:r w:rsidRPr="00082F7B">
        <w:rPr>
          <w:rFonts w:asciiTheme="majorHAnsi" w:hAnsiTheme="majorHAnsi"/>
          <w:sz w:val="24"/>
          <w:szCs w:val="24"/>
          <w:lang w:val="sr-Latn-CS"/>
        </w:rPr>
        <w:t xml:space="preserve">“ ima dobre komunikacione veze. Nalazi se u neposrednoj blizini magistralnog puta (dionica Mojkovac - Kolašin) i željezničke pruge Beograd – Bar, povezano je sa Mojkovcem Jadranskom magistralom u dolini rijeke Tare i lokalnim </w:t>
      </w:r>
      <w:r w:rsidRPr="00082F7B">
        <w:rPr>
          <w:rFonts w:asciiTheme="majorHAnsi" w:hAnsiTheme="majorHAnsi"/>
          <w:sz w:val="24"/>
          <w:szCs w:val="24"/>
          <w:lang w:val="sr-Latn-CS"/>
        </w:rPr>
        <w:lastRenderedPageBreak/>
        <w:t>asfaltnim putem dužine oko 1,4 km. To je asfaltni put koji od magistrale ide južnim padinama Malog Preprana i Okrugličkog krša do sela Donja i Gornja Štitarica, a dalje se nastavlja makadamski put do katuna na Sinjavini.</w:t>
      </w:r>
    </w:p>
    <w:p w14:paraId="00722A9D" w14:textId="77777777" w:rsidR="008F797A" w:rsidRPr="00082F7B" w:rsidRDefault="008F797A" w:rsidP="00E354DE">
      <w:pPr>
        <w:spacing w:after="0" w:line="240" w:lineRule="auto"/>
        <w:jc w:val="both"/>
        <w:rPr>
          <w:rFonts w:asciiTheme="majorHAnsi" w:hAnsiTheme="majorHAnsi"/>
          <w:sz w:val="24"/>
          <w:szCs w:val="24"/>
          <w:lang w:val="sr-Latn-CS"/>
        </w:rPr>
      </w:pPr>
    </w:p>
    <w:p w14:paraId="36D984AE" w14:textId="77777777" w:rsidR="008F797A" w:rsidRPr="00082F7B" w:rsidRDefault="008F797A" w:rsidP="00E354DE">
      <w:pPr>
        <w:spacing w:after="0" w:line="240" w:lineRule="auto"/>
        <w:jc w:val="both"/>
        <w:rPr>
          <w:rFonts w:asciiTheme="majorHAnsi" w:hAnsiTheme="majorHAnsi" w:cstheme="minorHAnsi"/>
          <w:sz w:val="24"/>
          <w:szCs w:val="24"/>
          <w:lang w:val="sr-Latn-CS"/>
        </w:rPr>
      </w:pPr>
      <w:r w:rsidRPr="00082F7B">
        <w:rPr>
          <w:rFonts w:asciiTheme="majorHAnsi" w:hAnsiTheme="majorHAnsi"/>
          <w:sz w:val="24"/>
          <w:szCs w:val="24"/>
          <w:lang w:val="sr-Latn-CS"/>
        </w:rPr>
        <w:t>Lež</w:t>
      </w:r>
      <w:r w:rsidR="00A27F60" w:rsidRPr="00082F7B">
        <w:rPr>
          <w:rFonts w:asciiTheme="majorHAnsi" w:hAnsiTheme="majorHAnsi"/>
          <w:sz w:val="24"/>
          <w:szCs w:val="24"/>
          <w:lang w:val="sr-Latn-CS"/>
        </w:rPr>
        <w:t>ište „Štitarica - Taskavac</w:t>
      </w:r>
      <w:r w:rsidRPr="00082F7B">
        <w:rPr>
          <w:rFonts w:asciiTheme="majorHAnsi" w:hAnsiTheme="majorHAnsi"/>
          <w:sz w:val="24"/>
          <w:szCs w:val="24"/>
          <w:lang w:val="sr-Latn-CS"/>
        </w:rPr>
        <w:t>“, sa drobiličnim i asfaltnim postrojenjima u neposrednoj blizini, ima dobru perspektivu i može dati značajan doprinos savremenom održavanju putnih pravaca u Crnoj Gori. Realizacijom radova na obezbjeđenju i eksploataciji sirovinske baze ovog ležišta daje se doprinos svestranom i racionalnom iskorišćenju prirodnih resursa ovog, slabije razvijenog, područja.</w:t>
      </w:r>
    </w:p>
    <w:p w14:paraId="51C3D12A" w14:textId="77777777" w:rsidR="00E354DE" w:rsidRPr="00082F7B" w:rsidRDefault="00E354DE" w:rsidP="00E354DE">
      <w:pPr>
        <w:spacing w:after="0" w:line="240" w:lineRule="auto"/>
        <w:jc w:val="both"/>
        <w:rPr>
          <w:rFonts w:asciiTheme="majorHAnsi" w:hAnsiTheme="majorHAnsi"/>
          <w:sz w:val="24"/>
          <w:szCs w:val="24"/>
          <w:lang w:val="sr-Latn-CS"/>
        </w:rPr>
      </w:pPr>
    </w:p>
    <w:p w14:paraId="603C2846" w14:textId="77777777" w:rsidR="00F653C8" w:rsidRPr="00082F7B" w:rsidRDefault="00F653C8" w:rsidP="009474E6">
      <w:pPr>
        <w:pStyle w:val="Heading2"/>
        <w:rPr>
          <w:rFonts w:asciiTheme="majorHAnsi" w:hAnsiTheme="majorHAnsi"/>
          <w:szCs w:val="24"/>
          <w:lang w:val="sr-Latn-CS"/>
        </w:rPr>
      </w:pPr>
      <w:bookmarkStart w:id="19" w:name="_Toc459633519"/>
      <w:r w:rsidRPr="00082F7B">
        <w:rPr>
          <w:rFonts w:asciiTheme="majorHAnsi" w:hAnsiTheme="majorHAnsi"/>
          <w:szCs w:val="24"/>
          <w:lang w:val="sr-Latn-CS"/>
        </w:rPr>
        <w:t>Tržište</w:t>
      </w:r>
      <w:bookmarkEnd w:id="19"/>
    </w:p>
    <w:p w14:paraId="7EE1F478" w14:textId="77777777" w:rsidR="00F653C8" w:rsidRPr="00082F7B" w:rsidRDefault="00F653C8" w:rsidP="00F653C8">
      <w:pPr>
        <w:spacing w:after="0" w:line="240" w:lineRule="auto"/>
        <w:jc w:val="both"/>
        <w:rPr>
          <w:rFonts w:asciiTheme="majorHAnsi" w:hAnsiTheme="majorHAnsi" w:cstheme="minorHAnsi"/>
          <w:sz w:val="24"/>
          <w:szCs w:val="24"/>
          <w:lang w:val="sr-Latn-CS"/>
        </w:rPr>
      </w:pPr>
    </w:p>
    <w:p w14:paraId="3D6CA724" w14:textId="77777777" w:rsidR="00F653C8" w:rsidRPr="00082F7B" w:rsidRDefault="00F653C8" w:rsidP="00F653C8">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Analiza trži</w:t>
      </w:r>
      <w:r w:rsidR="004E3294" w:rsidRPr="00082F7B">
        <w:rPr>
          <w:rFonts w:asciiTheme="majorHAnsi" w:hAnsiTheme="majorHAnsi" w:cstheme="minorHAnsi"/>
          <w:sz w:val="24"/>
          <w:szCs w:val="24"/>
          <w:lang w:val="sr-Latn-CS"/>
        </w:rPr>
        <w:t>šta kroz dosadašnju izradu elabo</w:t>
      </w:r>
      <w:r w:rsidRPr="00082F7B">
        <w:rPr>
          <w:rFonts w:asciiTheme="majorHAnsi" w:hAnsiTheme="majorHAnsi" w:cstheme="minorHAnsi"/>
          <w:sz w:val="24"/>
          <w:szCs w:val="24"/>
          <w:lang w:val="sr-Latn-CS"/>
        </w:rPr>
        <w:t>rata o klasfikaciji, kategorizaciji i proračunu rezervi tehničko-građevinskog kamena</w:t>
      </w:r>
      <w:r w:rsidR="00E354DE" w:rsidRPr="00082F7B">
        <w:rPr>
          <w:rFonts w:asciiTheme="majorHAnsi" w:hAnsiTheme="majorHAnsi" w:cstheme="minorHAnsi"/>
          <w:sz w:val="24"/>
          <w:szCs w:val="24"/>
          <w:lang w:val="sr-Latn-CS"/>
        </w:rPr>
        <w:t xml:space="preserve"> (krečnjaka) na ležištu „Štitarica-Taskavac</w:t>
      </w:r>
      <w:r w:rsidRPr="00082F7B">
        <w:rPr>
          <w:rFonts w:asciiTheme="majorHAnsi" w:hAnsiTheme="majorHAnsi" w:cstheme="minorHAnsi"/>
          <w:sz w:val="24"/>
          <w:szCs w:val="24"/>
          <w:lang w:val="sr-Latn-CS"/>
        </w:rPr>
        <w:t>“ (koji su rađeni u u prethodnom koncesionom periodu) pokazala je da se problem plasmana građevin</w:t>
      </w:r>
      <w:r w:rsidR="00E354DE" w:rsidRPr="00082F7B">
        <w:rPr>
          <w:rFonts w:asciiTheme="majorHAnsi" w:hAnsiTheme="majorHAnsi" w:cstheme="minorHAnsi"/>
          <w:sz w:val="24"/>
          <w:szCs w:val="24"/>
          <w:lang w:val="sr-Latn-CS"/>
        </w:rPr>
        <w:t>skog kamena iz ovog ležišta</w:t>
      </w:r>
      <w:r w:rsidRPr="00082F7B">
        <w:rPr>
          <w:rFonts w:asciiTheme="majorHAnsi" w:hAnsiTheme="majorHAnsi" w:cstheme="minorHAnsi"/>
          <w:sz w:val="24"/>
          <w:szCs w:val="24"/>
          <w:lang w:val="sr-Latn-CS"/>
        </w:rPr>
        <w:t xml:space="preserve"> neće pojaviti kao ograničavajući faktor u plasmanu postojećih količina ili povećanju obima proizvodnje.</w:t>
      </w:r>
    </w:p>
    <w:p w14:paraId="239F0B15" w14:textId="77777777" w:rsidR="00CC506B" w:rsidRPr="00082F7B" w:rsidRDefault="00CC506B" w:rsidP="00F653C8">
      <w:pPr>
        <w:spacing w:after="0" w:line="240" w:lineRule="auto"/>
        <w:jc w:val="both"/>
        <w:rPr>
          <w:rFonts w:asciiTheme="majorHAnsi" w:hAnsiTheme="majorHAnsi" w:cstheme="minorHAnsi"/>
          <w:sz w:val="24"/>
          <w:szCs w:val="24"/>
          <w:lang w:val="sr-Latn-CS"/>
        </w:rPr>
      </w:pPr>
    </w:p>
    <w:p w14:paraId="556727CB" w14:textId="77777777" w:rsidR="00CC506B" w:rsidRPr="00082F7B" w:rsidRDefault="00CC506B" w:rsidP="00F653C8">
      <w:pPr>
        <w:spacing w:after="0" w:line="240" w:lineRule="auto"/>
        <w:jc w:val="both"/>
        <w:rPr>
          <w:rFonts w:asciiTheme="majorHAnsi" w:hAnsiTheme="majorHAnsi" w:cstheme="minorHAnsi"/>
          <w:sz w:val="24"/>
          <w:szCs w:val="24"/>
          <w:lang w:val="sr-Latn-CS"/>
        </w:rPr>
      </w:pPr>
    </w:p>
    <w:p w14:paraId="0C54DA30" w14:textId="77777777" w:rsidR="00F653C8" w:rsidRPr="00082F7B" w:rsidRDefault="00F653C8" w:rsidP="00F653C8">
      <w:pPr>
        <w:spacing w:after="0" w:line="240" w:lineRule="auto"/>
        <w:jc w:val="both"/>
        <w:rPr>
          <w:rFonts w:asciiTheme="majorHAnsi" w:hAnsiTheme="majorHAnsi" w:cstheme="minorHAnsi"/>
          <w:sz w:val="24"/>
          <w:szCs w:val="24"/>
          <w:lang w:val="sr-Latn-CS"/>
        </w:rPr>
      </w:pPr>
    </w:p>
    <w:p w14:paraId="2E430934" w14:textId="77777777" w:rsidR="00F653C8" w:rsidRPr="00082F7B" w:rsidRDefault="00F653C8" w:rsidP="009474E6">
      <w:pPr>
        <w:pStyle w:val="Heading2"/>
        <w:rPr>
          <w:rFonts w:asciiTheme="majorHAnsi" w:hAnsiTheme="majorHAnsi"/>
          <w:szCs w:val="24"/>
          <w:lang w:val="sr-Latn-CS"/>
        </w:rPr>
      </w:pPr>
      <w:bookmarkStart w:id="20" w:name="_Toc402262931"/>
      <w:bookmarkStart w:id="21" w:name="_Toc459633520"/>
      <w:r w:rsidRPr="00082F7B">
        <w:rPr>
          <w:rFonts w:asciiTheme="majorHAnsi" w:hAnsiTheme="majorHAnsi"/>
          <w:szCs w:val="24"/>
          <w:lang w:val="sr-Latn-CS"/>
        </w:rPr>
        <w:t>Podaci o izvršenim geološkim istraživanjima, geološke karakteristike šireg područja  i ležišta  podaci o rezervama i kvalitetu mineralne sirovine</w:t>
      </w:r>
      <w:bookmarkEnd w:id="20"/>
      <w:bookmarkEnd w:id="21"/>
    </w:p>
    <w:p w14:paraId="5CC4D858" w14:textId="77777777" w:rsidR="00F653C8" w:rsidRPr="00082F7B" w:rsidRDefault="00F653C8" w:rsidP="00F653C8">
      <w:pPr>
        <w:spacing w:after="0"/>
        <w:rPr>
          <w:rFonts w:asciiTheme="majorHAnsi" w:hAnsiTheme="majorHAnsi"/>
          <w:b/>
          <w:sz w:val="24"/>
          <w:szCs w:val="24"/>
          <w:lang w:val="sr-Latn-CS"/>
        </w:rPr>
      </w:pPr>
    </w:p>
    <w:p w14:paraId="06AC9A9D" w14:textId="77777777" w:rsidR="00F411E2" w:rsidRPr="00082F7B" w:rsidRDefault="00F653C8" w:rsidP="009474E6">
      <w:pPr>
        <w:pStyle w:val="Heading3"/>
        <w:rPr>
          <w:rFonts w:asciiTheme="majorHAnsi" w:hAnsiTheme="majorHAnsi"/>
          <w:szCs w:val="24"/>
          <w:lang w:val="sr-Latn-CS"/>
        </w:rPr>
      </w:pPr>
      <w:bookmarkStart w:id="22" w:name="_Toc459633521"/>
      <w:r w:rsidRPr="00082F7B">
        <w:rPr>
          <w:rFonts w:asciiTheme="majorHAnsi" w:hAnsiTheme="majorHAnsi"/>
          <w:szCs w:val="24"/>
          <w:lang w:val="sr-Latn-CS"/>
        </w:rPr>
        <w:t>Podaci o izvršenim geološkim istraživanjima</w:t>
      </w:r>
      <w:bookmarkEnd w:id="22"/>
    </w:p>
    <w:p w14:paraId="26B42911" w14:textId="77777777" w:rsidR="00F411E2" w:rsidRPr="00082F7B" w:rsidRDefault="00F411E2" w:rsidP="00F411E2">
      <w:pPr>
        <w:spacing w:after="0" w:line="240" w:lineRule="auto"/>
        <w:rPr>
          <w:rFonts w:asciiTheme="majorHAnsi" w:hAnsiTheme="majorHAnsi"/>
          <w:b/>
          <w:sz w:val="24"/>
          <w:szCs w:val="24"/>
          <w:lang w:val="sr-Latn-CS"/>
        </w:rPr>
      </w:pPr>
    </w:p>
    <w:p w14:paraId="68983535"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Do 1978. godine nema podataka o istraživanju krečnjaka ovog područja ili lež</w:t>
      </w:r>
      <w:r w:rsidR="00D368B8" w:rsidRPr="00082F7B">
        <w:rPr>
          <w:rFonts w:asciiTheme="majorHAnsi" w:hAnsiTheme="majorHAnsi" w:cstheme="minorHAnsi"/>
          <w:sz w:val="24"/>
          <w:szCs w:val="24"/>
          <w:lang w:val="sr-Latn-CS"/>
        </w:rPr>
        <w:t>išta „Štitarica - Tas</w:t>
      </w:r>
      <w:r w:rsidRPr="00082F7B">
        <w:rPr>
          <w:rFonts w:asciiTheme="majorHAnsi" w:hAnsiTheme="majorHAnsi" w:cstheme="minorHAnsi"/>
          <w:sz w:val="24"/>
          <w:szCs w:val="24"/>
          <w:lang w:val="sr-Latn-CS"/>
        </w:rPr>
        <w:t>kavac“, kao sirovine za proizvodnju tehničko-građevinskog kamena.</w:t>
      </w:r>
    </w:p>
    <w:p w14:paraId="323E2FC3"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16BB08D6" w14:textId="77777777" w:rsidR="00F411E2" w:rsidRPr="00082F7B" w:rsidRDefault="00F411E2" w:rsidP="00F411E2">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 xml:space="preserve">Laboratorijska ispitivanja kamena i kamenog agregata iz nalazišta “Štitarica“ i ocjena podobnosti upotrebe izvršena su, u toku 1987. godine, u “Institutu za puteve“ – Beograd. Na osnovu rezultata ovih ispitivanja, konstatovano je da se krečnjak iz ovog ležišta može upotrijebiti za proizvodnju agregata, koji bi imao upotrebu za izradu donjih nosećih (tamponskih) slojeva, donjih nosećih slojeva od bituminiziranog materijala po vrućem postupku, gornjih nosećih slojeva od bituminiziranog materijala po vrućem postupku, izradu asfalt-betona za izradu puteva za 4 i 5 </w:t>
      </w:r>
      <w:r w:rsidRPr="00082F7B">
        <w:rPr>
          <w:rFonts w:asciiTheme="majorHAnsi" w:hAnsiTheme="majorHAnsi" w:cstheme="minorHAnsi"/>
          <w:sz w:val="24"/>
          <w:szCs w:val="24"/>
          <w:lang w:val="sr-Latn-CS"/>
        </w:rPr>
        <w:t>razred saobraćajnog opterećenja</w:t>
      </w:r>
      <w:r w:rsidRPr="00082F7B">
        <w:rPr>
          <w:rFonts w:asciiTheme="majorHAnsi" w:hAnsiTheme="majorHAnsi"/>
          <w:sz w:val="24"/>
          <w:szCs w:val="24"/>
          <w:lang w:val="sr-Latn-CS"/>
        </w:rPr>
        <w:t xml:space="preserve"> i izradu cement-betona uz prethodna hemijska ispitivanja o sadržaju štetnih sastojaka. </w:t>
      </w:r>
    </w:p>
    <w:p w14:paraId="204EA7AD" w14:textId="77777777" w:rsidR="00F411E2" w:rsidRPr="00082F7B" w:rsidRDefault="00F411E2" w:rsidP="00F411E2">
      <w:pPr>
        <w:spacing w:after="0" w:line="240" w:lineRule="auto"/>
        <w:jc w:val="both"/>
        <w:rPr>
          <w:rFonts w:asciiTheme="majorHAnsi" w:hAnsiTheme="majorHAnsi"/>
          <w:sz w:val="24"/>
          <w:szCs w:val="24"/>
          <w:lang w:val="sr-Latn-CS"/>
        </w:rPr>
      </w:pPr>
    </w:p>
    <w:p w14:paraId="04835897"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toku 1989. godine Zavod</w:t>
      </w:r>
      <w:r w:rsidRPr="00082F7B">
        <w:rPr>
          <w:rFonts w:asciiTheme="majorHAnsi" w:hAnsiTheme="majorHAnsi"/>
          <w:sz w:val="24"/>
          <w:szCs w:val="24"/>
          <w:lang w:val="sr-Latn-CS"/>
        </w:rPr>
        <w:t xml:space="preserve"> za geološka istraživanja iz Titograda</w:t>
      </w:r>
      <w:r w:rsidRPr="00082F7B">
        <w:rPr>
          <w:rFonts w:asciiTheme="majorHAnsi" w:hAnsiTheme="majorHAnsi" w:cstheme="minorHAnsi"/>
          <w:sz w:val="24"/>
          <w:szCs w:val="24"/>
          <w:lang w:val="sr-Latn-CS"/>
        </w:rPr>
        <w:t xml:space="preserve"> je</w:t>
      </w:r>
      <w:r w:rsidRPr="00082F7B">
        <w:rPr>
          <w:rFonts w:asciiTheme="majorHAnsi" w:hAnsiTheme="majorHAnsi"/>
          <w:sz w:val="24"/>
          <w:szCs w:val="24"/>
          <w:lang w:val="sr-Latn-CS"/>
        </w:rPr>
        <w:t>, za potrebe Radne organizacije za puteve “Crnagoraput“ iz Titograda</w:t>
      </w:r>
      <w:r w:rsidRPr="00082F7B">
        <w:rPr>
          <w:rFonts w:asciiTheme="majorHAnsi" w:hAnsiTheme="majorHAnsi" w:cstheme="minorHAnsi"/>
          <w:sz w:val="24"/>
          <w:szCs w:val="24"/>
          <w:lang w:val="sr-Latn-CS"/>
        </w:rPr>
        <w:t xml:space="preserve">, izvršio </w:t>
      </w:r>
      <w:r w:rsidRPr="00082F7B">
        <w:rPr>
          <w:rFonts w:asciiTheme="majorHAnsi" w:hAnsiTheme="majorHAnsi"/>
          <w:sz w:val="24"/>
          <w:szCs w:val="24"/>
          <w:lang w:val="sr-Latn-CS"/>
        </w:rPr>
        <w:t xml:space="preserve">detaljna geološka istraživanja </w:t>
      </w:r>
      <w:r w:rsidRPr="00082F7B">
        <w:rPr>
          <w:rFonts w:asciiTheme="majorHAnsi" w:hAnsiTheme="majorHAnsi"/>
          <w:sz w:val="24"/>
          <w:szCs w:val="24"/>
          <w:lang w:val="sr-Latn-CS"/>
        </w:rPr>
        <w:lastRenderedPageBreak/>
        <w:t>tehničko-građevinskog kamena (krečnjaka) ležišta “Štitarica - Taskavac“</w:t>
      </w:r>
      <w:r w:rsidRPr="00082F7B">
        <w:rPr>
          <w:rFonts w:asciiTheme="majorHAnsi" w:hAnsiTheme="majorHAnsi" w:cstheme="minorHAnsi"/>
          <w:sz w:val="24"/>
          <w:szCs w:val="24"/>
          <w:lang w:val="sr-Latn-CS"/>
        </w:rPr>
        <w:t xml:space="preserve"> i uradio </w:t>
      </w:r>
      <w:r w:rsidRPr="00082F7B">
        <w:rPr>
          <w:rFonts w:asciiTheme="majorHAnsi" w:hAnsiTheme="majorHAnsi"/>
          <w:sz w:val="24"/>
          <w:szCs w:val="24"/>
          <w:lang w:val="sr-Latn-CS"/>
        </w:rPr>
        <w:t>Elaborat o klasifikaciji, kategorizaciji i proračunu rezervi tehničko-građevinskog kamena (krečnjaka) za ležište „Štitarica Taskavac“,  stanje 31.12.1989. godine.</w:t>
      </w:r>
    </w:p>
    <w:p w14:paraId="3DEA49EF" w14:textId="77777777" w:rsidR="00F411E2" w:rsidRPr="00082F7B" w:rsidRDefault="00F411E2" w:rsidP="00F411E2">
      <w:pPr>
        <w:spacing w:after="0" w:line="240" w:lineRule="auto"/>
        <w:jc w:val="both"/>
        <w:rPr>
          <w:rFonts w:asciiTheme="majorHAnsi" w:hAnsiTheme="majorHAnsi"/>
          <w:sz w:val="24"/>
          <w:szCs w:val="24"/>
          <w:lang w:val="sr-Latn-CS"/>
        </w:rPr>
      </w:pPr>
    </w:p>
    <w:p w14:paraId="60232EB0" w14:textId="77777777" w:rsidR="00F411E2" w:rsidRPr="00082F7B" w:rsidRDefault="00F411E2" w:rsidP="00F411E2">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Institut za tehnička istraživanja – Podgorica, z</w:t>
      </w:r>
      <w:r w:rsidRPr="00082F7B">
        <w:rPr>
          <w:rFonts w:asciiTheme="majorHAnsi" w:hAnsiTheme="majorHAnsi"/>
          <w:sz w:val="24"/>
          <w:szCs w:val="24"/>
          <w:lang w:val="sr-Latn-CS"/>
        </w:rPr>
        <w:t>a potrebe Preduzeća za puteve “Crnagorapu</w:t>
      </w:r>
      <w:r w:rsidRPr="00082F7B">
        <w:rPr>
          <w:rFonts w:asciiTheme="majorHAnsi" w:hAnsiTheme="majorHAnsi" w:cstheme="minorHAnsi"/>
          <w:sz w:val="24"/>
          <w:szCs w:val="24"/>
          <w:lang w:val="sr-Latn-CS"/>
        </w:rPr>
        <w:t xml:space="preserve">t“ iz Podgorice, uradio je </w:t>
      </w:r>
      <w:r w:rsidRPr="00082F7B">
        <w:rPr>
          <w:rFonts w:asciiTheme="majorHAnsi" w:hAnsiTheme="majorHAnsi"/>
          <w:sz w:val="24"/>
          <w:szCs w:val="24"/>
          <w:lang w:val="sr-Latn-CS"/>
        </w:rPr>
        <w:t xml:space="preserve"> Aneks elaborata o klasifikaciji, kategorizaciji i proračunu rezervi tehničko-građevinskog kamena (krečnjaka) ležišta “Štitarica-Taskavac“ - Mojkovac, sa stanjem 31.12.1997. godine. </w:t>
      </w:r>
    </w:p>
    <w:p w14:paraId="40C3001C" w14:textId="77777777" w:rsidR="00F653C8" w:rsidRPr="00082F7B" w:rsidRDefault="00F411E2" w:rsidP="00F411E2">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sz w:val="24"/>
          <w:szCs w:val="24"/>
          <w:lang w:val="sr-Latn-CS"/>
        </w:rPr>
        <w:t xml:space="preserve"> </w:t>
      </w:r>
    </w:p>
    <w:p w14:paraId="13E81AC6" w14:textId="77777777" w:rsidR="00F411E2" w:rsidRPr="00082F7B" w:rsidRDefault="00F411E2" w:rsidP="00F411E2">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sz w:val="24"/>
          <w:szCs w:val="24"/>
          <w:lang w:val="sr-Latn-CS"/>
        </w:rPr>
        <w:t xml:space="preserve">U toku 2008. </w:t>
      </w:r>
      <w:r w:rsidRPr="00082F7B">
        <w:rPr>
          <w:rFonts w:asciiTheme="majorHAnsi" w:hAnsiTheme="majorHAnsi" w:cstheme="minorHAnsi"/>
          <w:sz w:val="24"/>
          <w:szCs w:val="24"/>
          <w:lang w:val="sr-Latn-CS"/>
        </w:rPr>
        <w:t>g</w:t>
      </w:r>
      <w:r w:rsidRPr="00082F7B">
        <w:rPr>
          <w:rFonts w:asciiTheme="majorHAnsi" w:hAnsiTheme="majorHAnsi"/>
          <w:sz w:val="24"/>
          <w:szCs w:val="24"/>
          <w:lang w:val="sr-Latn-CS"/>
        </w:rPr>
        <w:t>odine</w:t>
      </w:r>
      <w:r w:rsidRPr="00082F7B">
        <w:rPr>
          <w:rFonts w:asciiTheme="majorHAnsi" w:hAnsiTheme="majorHAnsi" w:cstheme="minorHAnsi"/>
          <w:sz w:val="24"/>
          <w:szCs w:val="24"/>
          <w:lang w:val="sr-Latn-CS"/>
        </w:rPr>
        <w:t xml:space="preserve"> </w:t>
      </w:r>
      <w:r w:rsidRPr="00082F7B">
        <w:rPr>
          <w:rFonts w:asciiTheme="majorHAnsi" w:hAnsiTheme="majorHAnsi"/>
          <w:sz w:val="24"/>
          <w:szCs w:val="24"/>
          <w:lang w:val="sr-Latn-CS"/>
        </w:rPr>
        <w:t>JU Republički zavod za geološka istraživanja – Podgorica,</w:t>
      </w:r>
      <w:r w:rsidRPr="00082F7B">
        <w:rPr>
          <w:rFonts w:asciiTheme="majorHAnsi" w:hAnsiTheme="majorHAnsi" w:cstheme="minorHAnsi"/>
          <w:sz w:val="24"/>
          <w:szCs w:val="24"/>
          <w:lang w:val="sr-Latn-CS"/>
        </w:rPr>
        <w:t xml:space="preserve"> je</w:t>
      </w:r>
      <w:r w:rsidRPr="00082F7B">
        <w:rPr>
          <w:rFonts w:asciiTheme="majorHAnsi" w:hAnsiTheme="majorHAnsi"/>
          <w:sz w:val="24"/>
          <w:szCs w:val="24"/>
          <w:lang w:val="sr-Latn-CS"/>
        </w:rPr>
        <w:t>, za potrebe AD „</w:t>
      </w:r>
      <w:r w:rsidRPr="00082F7B">
        <w:rPr>
          <w:rFonts w:asciiTheme="majorHAnsi" w:hAnsiTheme="majorHAnsi"/>
          <w:iCs/>
          <w:sz w:val="24"/>
          <w:szCs w:val="24"/>
          <w:lang w:val="sr-Latn-CS"/>
        </w:rPr>
        <w:t>Crnagoraput“ - Podgorica</w:t>
      </w:r>
      <w:r w:rsidRPr="00082F7B">
        <w:rPr>
          <w:rFonts w:asciiTheme="majorHAnsi" w:hAnsiTheme="majorHAnsi" w:cstheme="minorHAnsi"/>
          <w:sz w:val="24"/>
          <w:szCs w:val="24"/>
          <w:lang w:val="sr-Latn-CS"/>
        </w:rPr>
        <w:t>, izvršila</w:t>
      </w:r>
      <w:r w:rsidRPr="00082F7B">
        <w:rPr>
          <w:rFonts w:asciiTheme="majorHAnsi" w:hAnsiTheme="majorHAnsi"/>
          <w:sz w:val="24"/>
          <w:szCs w:val="24"/>
          <w:lang w:val="sr-Latn-CS"/>
        </w:rPr>
        <w:t xml:space="preserve"> detaljna geološka istraživanja tehničko-građevinskog kamena (krečnjaka</w:t>
      </w:r>
      <w:r w:rsidRPr="00082F7B">
        <w:rPr>
          <w:rFonts w:asciiTheme="majorHAnsi" w:hAnsiTheme="majorHAnsi" w:cstheme="minorHAnsi"/>
          <w:sz w:val="24"/>
          <w:szCs w:val="24"/>
          <w:lang w:val="sr-Latn-CS"/>
        </w:rPr>
        <w:t>) ležišta “Taskavac“ i uradila</w:t>
      </w:r>
      <w:r w:rsidRPr="00082F7B">
        <w:rPr>
          <w:rFonts w:asciiTheme="majorHAnsi" w:hAnsiTheme="majorHAnsi"/>
          <w:sz w:val="24"/>
          <w:szCs w:val="24"/>
          <w:lang w:val="sr-Latn-CS"/>
        </w:rPr>
        <w:t xml:space="preserve"> Elaborat o klasifikaciji, kategorizaciji i proračunu rezervi tehničko-građevinskog kamena ležišta „Taskavac“ – Štitarica kod Mojkovca, stanje 31.12.2007. godine.</w:t>
      </w:r>
    </w:p>
    <w:p w14:paraId="4A57E749" w14:textId="77777777" w:rsidR="00F411E2" w:rsidRPr="00082F7B" w:rsidRDefault="00F411E2" w:rsidP="00F411E2">
      <w:pPr>
        <w:pStyle w:val="BodyTextIndent"/>
        <w:tabs>
          <w:tab w:val="left" w:pos="-2430"/>
        </w:tabs>
        <w:spacing w:after="0" w:line="240" w:lineRule="auto"/>
        <w:ind w:left="0"/>
        <w:jc w:val="both"/>
        <w:rPr>
          <w:rFonts w:asciiTheme="majorHAnsi" w:hAnsiTheme="majorHAnsi" w:cstheme="minorHAnsi"/>
          <w:sz w:val="24"/>
          <w:szCs w:val="24"/>
          <w:lang w:val="sr-Latn-CS"/>
        </w:rPr>
      </w:pPr>
    </w:p>
    <w:p w14:paraId="2950AEB1"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sz w:val="24"/>
          <w:szCs w:val="24"/>
          <w:lang w:val="sr-Latn-CS"/>
        </w:rPr>
        <w:t>JU Zavod za geološka istraživanja – Podgorica je, u toku 2013. godine, izvršila detaljna geološka istraživanja tehničko-građevinskog kamena (krečnjaka) ležišta “Taskavac“ i uradila Elaborat o klasifikaciji, kategorizaciji i proračunu rezervi tehničko-građevinskog kamena ležišta “Taskavac” - Štitarica kod Mojkovca, stanje</w:t>
      </w:r>
      <w:r w:rsidRPr="00082F7B">
        <w:rPr>
          <w:rFonts w:asciiTheme="majorHAnsi" w:hAnsiTheme="majorHAnsi" w:cstheme="minorHAnsi"/>
          <w:sz w:val="24"/>
          <w:szCs w:val="24"/>
          <w:lang w:val="sr-Latn-CS"/>
        </w:rPr>
        <w:t xml:space="preserve"> 31.12.2012. godine, koji je ovjeren od strane nadležnog Ministarstva ekonomije.</w:t>
      </w:r>
    </w:p>
    <w:p w14:paraId="174A879B"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21410DD7" w14:textId="77777777" w:rsidR="00F411E2" w:rsidRPr="00082F7B" w:rsidRDefault="00F411E2" w:rsidP="009474E6">
      <w:pPr>
        <w:pStyle w:val="Heading3"/>
        <w:rPr>
          <w:rFonts w:asciiTheme="majorHAnsi" w:hAnsiTheme="majorHAnsi"/>
          <w:szCs w:val="24"/>
          <w:lang w:val="sr-Latn-CS"/>
        </w:rPr>
      </w:pPr>
      <w:bookmarkStart w:id="23" w:name="_Toc459633522"/>
      <w:r w:rsidRPr="00082F7B">
        <w:rPr>
          <w:rFonts w:asciiTheme="majorHAnsi" w:hAnsiTheme="majorHAnsi"/>
          <w:szCs w:val="24"/>
          <w:lang w:val="sr-Latn-CS"/>
        </w:rPr>
        <w:t>Geološke karakteristike šireg područja</w:t>
      </w:r>
      <w:bookmarkEnd w:id="23"/>
    </w:p>
    <w:p w14:paraId="57BCC45A" w14:textId="77777777" w:rsidR="00F411E2" w:rsidRPr="00082F7B" w:rsidRDefault="00F411E2" w:rsidP="00F411E2">
      <w:pPr>
        <w:spacing w:after="0" w:line="240" w:lineRule="auto"/>
        <w:jc w:val="both"/>
        <w:rPr>
          <w:rFonts w:asciiTheme="majorHAnsi" w:hAnsiTheme="majorHAnsi" w:cstheme="minorHAnsi"/>
          <w:b/>
          <w:sz w:val="24"/>
          <w:szCs w:val="24"/>
          <w:lang w:val="sr-Latn-CS"/>
        </w:rPr>
      </w:pPr>
    </w:p>
    <w:p w14:paraId="7FC582F7"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Šire područje ležišta „Štitarica-Taskavac“ je po svojoj geološkoj građi veoma složeno područje. Na ovom prostoru razvijeni su raznovrsni sedimenti počev od srednjeg trijasa, pa sve do najmlađih kvartarnih tvorevina. Sedimenti su razvijeni u okviru geotektonske cjeline Visokog krša, odnosno strukturne jedinice „Trijaski tektonski prozori šireg područja Bjelasice“. Ova tektonska jedinica zahvata veliki prostor u ovom dijelu Crne Gore, a nalazi se u vidu većih i manjih tektonskih prozora u odnosu na još prostraniju „Durmitorsku tektonsku jedinicu“. Na Osnovnoj geolškoj karti označeno je čelo navlake koje u isto vrijeme predstavlja i granicu između ove dvije tektonske jedinice</w:t>
      </w:r>
      <w:r w:rsidR="00674354" w:rsidRPr="00082F7B">
        <w:rPr>
          <w:rFonts w:asciiTheme="majorHAnsi" w:hAnsiTheme="majorHAnsi" w:cstheme="minorHAnsi"/>
          <w:sz w:val="24"/>
          <w:szCs w:val="24"/>
          <w:lang w:val="sr-Latn-CS"/>
        </w:rPr>
        <w:t>.</w:t>
      </w:r>
    </w:p>
    <w:p w14:paraId="573E2881"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06A4B090"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geološkoj građi šireg područja učestvuju tvorevine karbona, perma, trijasa i kvartara.</w:t>
      </w:r>
    </w:p>
    <w:p w14:paraId="771633AA"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U geološkoj građi šireg područja, koji pripada strukturnoj jedinici „Trijaski tektonski prozori“ šireg područja Bjelasice“, učestvuju magmatske i sedimentne tvorevine trijasa. Preovladavaju magmatske stijene i tvorevine vulkanogeno-sedimentne formacije. </w:t>
      </w:r>
    </w:p>
    <w:p w14:paraId="29C8F92B" w14:textId="77777777" w:rsidR="00B102A4" w:rsidRPr="00082F7B" w:rsidRDefault="00B102A4" w:rsidP="00F411E2">
      <w:pPr>
        <w:spacing w:after="0" w:line="240" w:lineRule="auto"/>
        <w:jc w:val="both"/>
        <w:rPr>
          <w:rFonts w:asciiTheme="majorHAnsi" w:hAnsiTheme="majorHAnsi" w:cstheme="minorHAnsi"/>
          <w:sz w:val="24"/>
          <w:szCs w:val="24"/>
          <w:lang w:val="sr-Latn-CS"/>
        </w:rPr>
      </w:pPr>
    </w:p>
    <w:p w14:paraId="1E0BBC91" w14:textId="77777777" w:rsidR="00F653C8"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„Durmitorsku tektonsku jedinicu“ na ovom prostoru izgrađuju klastične i karbonatne stijene srednjeg i gornjeg karbona i donjeg i srednjeg perma koje su duž pomenute navlake navučene preko tvorevina trijasa. Vulkanska aktivnost na ovom prostoru odvijala se u toku srednjeg trijasa, odnosno otpočela je u aniziku, a nastavila se u toku donjeg ladinika.</w:t>
      </w:r>
    </w:p>
    <w:p w14:paraId="434DC744" w14:textId="77777777" w:rsidR="00F411E2" w:rsidRPr="00082F7B" w:rsidRDefault="00F411E2" w:rsidP="00F653C8">
      <w:pPr>
        <w:pStyle w:val="BodyTextIndent"/>
        <w:tabs>
          <w:tab w:val="left" w:pos="-2430"/>
        </w:tabs>
        <w:spacing w:after="0" w:line="240" w:lineRule="auto"/>
        <w:ind w:left="0"/>
        <w:jc w:val="both"/>
        <w:rPr>
          <w:rFonts w:asciiTheme="majorHAnsi" w:hAnsiTheme="majorHAnsi" w:cstheme="minorHAnsi"/>
          <w:b/>
          <w:sz w:val="24"/>
          <w:szCs w:val="24"/>
          <w:lang w:val="sr-Latn-CS"/>
        </w:rPr>
      </w:pPr>
    </w:p>
    <w:p w14:paraId="19E24536" w14:textId="77777777" w:rsidR="00F653C8" w:rsidRPr="00082F7B" w:rsidRDefault="00F653C8" w:rsidP="009474E6">
      <w:pPr>
        <w:pStyle w:val="Heading3"/>
        <w:rPr>
          <w:rFonts w:asciiTheme="majorHAnsi" w:hAnsiTheme="majorHAnsi"/>
          <w:szCs w:val="24"/>
          <w:lang w:val="sr-Latn-CS"/>
        </w:rPr>
      </w:pPr>
      <w:bookmarkStart w:id="24" w:name="_Toc459633523"/>
      <w:r w:rsidRPr="00082F7B">
        <w:rPr>
          <w:rFonts w:asciiTheme="majorHAnsi" w:hAnsiTheme="majorHAnsi"/>
          <w:szCs w:val="24"/>
          <w:lang w:val="sr-Latn-CS"/>
        </w:rPr>
        <w:lastRenderedPageBreak/>
        <w:t>Geološke k</w:t>
      </w:r>
      <w:r w:rsidR="00F411E2" w:rsidRPr="00082F7B">
        <w:rPr>
          <w:rFonts w:asciiTheme="majorHAnsi" w:hAnsiTheme="majorHAnsi"/>
          <w:szCs w:val="24"/>
          <w:lang w:val="sr-Latn-CS"/>
        </w:rPr>
        <w:t>arakteristike ležišta „Štitarica-Taskavac</w:t>
      </w:r>
      <w:r w:rsidRPr="00082F7B">
        <w:rPr>
          <w:rFonts w:asciiTheme="majorHAnsi" w:hAnsiTheme="majorHAnsi"/>
          <w:szCs w:val="24"/>
          <w:lang w:val="sr-Latn-CS"/>
        </w:rPr>
        <w:t>“</w:t>
      </w:r>
      <w:bookmarkEnd w:id="24"/>
    </w:p>
    <w:p w14:paraId="1885E35D" w14:textId="77777777" w:rsidR="00F653C8" w:rsidRPr="00082F7B" w:rsidRDefault="00F653C8" w:rsidP="00F653C8">
      <w:pPr>
        <w:pStyle w:val="BodyTextIndent"/>
        <w:tabs>
          <w:tab w:val="left" w:pos="-2430"/>
        </w:tabs>
        <w:spacing w:after="0" w:line="240" w:lineRule="auto"/>
        <w:ind w:left="0"/>
        <w:jc w:val="both"/>
        <w:rPr>
          <w:rFonts w:asciiTheme="majorHAnsi" w:hAnsiTheme="majorHAnsi" w:cstheme="minorHAnsi"/>
          <w:b/>
          <w:sz w:val="24"/>
          <w:szCs w:val="24"/>
          <w:lang w:val="sr-Latn-CS"/>
        </w:rPr>
      </w:pPr>
    </w:p>
    <w:p w14:paraId="637029D8"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Ležište tehničko-građevinskog kamena “Štitarica - Taskavac“ se nalazi u mjestu Štitarica i izgrađuju ga sedimenti perma i kvartara i trijaski vulkaniti, koje učestvuju u građi </w:t>
      </w:r>
      <w:r w:rsidR="00EA15A1" w:rsidRPr="00082F7B">
        <w:rPr>
          <w:rFonts w:asciiTheme="majorHAnsi" w:hAnsiTheme="majorHAnsi" w:cstheme="minorHAnsi"/>
          <w:sz w:val="24"/>
          <w:szCs w:val="24"/>
          <w:lang w:val="sr-Latn-CS"/>
        </w:rPr>
        <w:t>ovog i šireg područja Štitarice</w:t>
      </w:r>
      <w:r w:rsidRPr="00082F7B">
        <w:rPr>
          <w:rFonts w:asciiTheme="majorHAnsi" w:hAnsiTheme="majorHAnsi" w:cstheme="minorHAnsi"/>
          <w:sz w:val="24"/>
          <w:szCs w:val="24"/>
          <w:lang w:val="sr-Latn-CS"/>
        </w:rPr>
        <w:t xml:space="preserve"> i čine ga perspektivnim prostorom za ovu mineralnu sirovinu.</w:t>
      </w:r>
    </w:p>
    <w:p w14:paraId="6102331C"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2C6FABBD"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Ranije je smatrano da krečnjaci permske starosti, koji izgrađuju predmetno ležište, pripadaju srednjem trijasu, odnosno anizijskim krečnjacima. Međutim, geološkim istraživanjima koja su vršena za potrebe izrade izvornog Elaborata  i istraživanjima sprovedenim 2008. i 2013. godine, konstatovano je da predmetno ležište izgrađuju paleozojski sedimenti, tj. krečnjaci donjeg i srednjeg perma (P</w:t>
      </w:r>
      <w:r w:rsidRPr="00082F7B">
        <w:rPr>
          <w:rFonts w:asciiTheme="majorHAnsi" w:hAnsiTheme="majorHAnsi" w:cstheme="minorHAnsi"/>
          <w:sz w:val="24"/>
          <w:szCs w:val="24"/>
          <w:vertAlign w:val="subscript"/>
          <w:lang w:val="sr-Latn-CS"/>
        </w:rPr>
        <w:t>1,2</w:t>
      </w:r>
      <w:r w:rsidRPr="00082F7B">
        <w:rPr>
          <w:rFonts w:asciiTheme="majorHAnsi" w:hAnsiTheme="majorHAnsi" w:cstheme="minorHAnsi"/>
          <w:sz w:val="24"/>
          <w:szCs w:val="24"/>
          <w:lang w:val="sr-Latn-CS"/>
        </w:rPr>
        <w:t>), koji leže preko laporovitih pješčara i škriljaca, koji, takođe, pripadaju permu, a konstatovani su istražnim bušenjem 1989. godine. Sedimenti perma navučeni su preko trijaskih vulkanita, a na površini su maskirani deluvijalnim materijalom i humusom, ili su otkriveni u vidu moćnog masiva, koji čini ležište “Štitarica - Taskavac“.</w:t>
      </w:r>
    </w:p>
    <w:p w14:paraId="531C4115"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7DF9B125"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Ležište tehničko-građevinskog kamena “Štitarica - Taskavac“ izgrađuju masivni, jedri, mjestimično izmijenjeni, biosparitski i r</w:t>
      </w:r>
      <w:r w:rsidR="00EA15A1" w:rsidRPr="00082F7B">
        <w:rPr>
          <w:rFonts w:asciiTheme="majorHAnsi" w:hAnsiTheme="majorHAnsi" w:cstheme="minorHAnsi"/>
          <w:sz w:val="24"/>
          <w:szCs w:val="24"/>
          <w:lang w:val="sr-Latn-CS"/>
        </w:rPr>
        <w:t>j</w:t>
      </w:r>
      <w:r w:rsidRPr="00082F7B">
        <w:rPr>
          <w:rFonts w:asciiTheme="majorHAnsi" w:hAnsiTheme="majorHAnsi" w:cstheme="minorHAnsi"/>
          <w:sz w:val="24"/>
          <w:szCs w:val="24"/>
          <w:lang w:val="sr-Latn-CS"/>
        </w:rPr>
        <w:t>eđe biomikritski krečnjaci. Krečnjaci su, uglavnom, prekristalisali, sive, tamnosive, sivosmeđe i mrke boje. Sadrže brojne vene, žice i mugle kalcita, sivobijele do mliječnobijele boje, koje su nepravilno raspoređene u stijenskoj masi i predstavljaju stalnu pojavu.</w:t>
      </w:r>
    </w:p>
    <w:p w14:paraId="6F0DD592"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00C72912"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Na bazi paleontoloških analiza fosilnih oriktoceneza sa karakterističnim fosilnim vrstama određena je starost krečnjaka, odnosno njihov stratigrafski nivo u stubu sedimenata perma. </w:t>
      </w:r>
      <w:r w:rsidRPr="00082F7B">
        <w:rPr>
          <w:rFonts w:asciiTheme="majorHAnsi" w:hAnsiTheme="majorHAnsi" w:cstheme="minorHAnsi"/>
          <w:i/>
          <w:sz w:val="24"/>
          <w:szCs w:val="24"/>
          <w:lang w:val="sr-Latn-CS"/>
        </w:rPr>
        <w:t>U sedimentima tipa biopelsparita, biosparita i biodolomikrita, mikropaleontološkim proučavanjima fosilnih briktocenoza, konstatovana je bogata asocijacija algalnih i foraminiferskih rodova i vrsta, koje u zajednici sa pratećim organizmima, najčešće krinoidima, izgrađuju tvorevine prelaznih sedimenata gornje švagerinskog horizonta donjeg perma i tvorevine srednjeg perma-kungurskog kata</w:t>
      </w:r>
      <w:r w:rsidR="00EA15A1" w:rsidRPr="00082F7B">
        <w:rPr>
          <w:rFonts w:asciiTheme="majorHAnsi" w:hAnsiTheme="majorHAnsi" w:cstheme="minorHAnsi"/>
          <w:i/>
          <w:sz w:val="24"/>
          <w:szCs w:val="24"/>
          <w:lang w:val="sr-Latn-CS"/>
        </w:rPr>
        <w:t>.</w:t>
      </w:r>
    </w:p>
    <w:p w14:paraId="737F41B9"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 osnovu rezultata ovih istraživanja, odnosno odredbe mikrofosila koji su sadržani u krečnjacima, došlo se do zaključka da sedimenti koji izgrađuju ležište “Štitarica - Taskavac“, pripadaju prelaznim tvorevinama donjeg i srednjeg perma.</w:t>
      </w:r>
    </w:p>
    <w:p w14:paraId="74093A29"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2109281D"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Krečnjaci  ležišta “Štitarica - Taskavac“ često su zahvaćeni intezivnim procesom rekristalizaje i ispresijecani gustom mrežom pukotina, žilica i vena, koje su, uglavnom, zapunjene srednjozrnim sparitskim kalcitom.</w:t>
      </w:r>
    </w:p>
    <w:p w14:paraId="7754A5B1" w14:textId="77777777" w:rsidR="00F411E2" w:rsidRPr="00082F7B" w:rsidRDefault="00F411E2" w:rsidP="00F411E2">
      <w:pPr>
        <w:spacing w:after="0" w:line="240" w:lineRule="auto"/>
        <w:jc w:val="both"/>
        <w:rPr>
          <w:rFonts w:asciiTheme="majorHAnsi" w:hAnsiTheme="majorHAnsi" w:cstheme="minorHAnsi"/>
          <w:sz w:val="24"/>
          <w:szCs w:val="24"/>
          <w:lang w:val="sr-Latn-CS"/>
        </w:rPr>
      </w:pPr>
    </w:p>
    <w:p w14:paraId="05656A3F" w14:textId="77777777" w:rsidR="00F411E2" w:rsidRPr="00082F7B" w:rsidRDefault="00F411E2" w:rsidP="00F411E2">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stijenskoj masi česti su mikrostiliolitski šavovi, markirani oksidom i hidroksidom gvožđa, a osim ovih krečnjaka, konstatovani su i krečnjaci brečolike strukture. Krečnjaci perma otkriveni su u vidu postojanog masiva, čija prosječna debljina iznosi od 40 do 50 m.</w:t>
      </w:r>
    </w:p>
    <w:p w14:paraId="1EA99894" w14:textId="77777777" w:rsidR="00F653C8" w:rsidRPr="00082F7B" w:rsidRDefault="00F653C8" w:rsidP="00F653C8">
      <w:pPr>
        <w:suppressAutoHyphens w:val="0"/>
        <w:spacing w:after="0"/>
        <w:jc w:val="both"/>
        <w:rPr>
          <w:rFonts w:asciiTheme="majorHAnsi" w:hAnsiTheme="majorHAnsi" w:cstheme="minorHAnsi"/>
          <w:sz w:val="24"/>
          <w:szCs w:val="24"/>
          <w:lang w:val="sr-Latn-CS"/>
        </w:rPr>
      </w:pPr>
    </w:p>
    <w:p w14:paraId="6B4F2740" w14:textId="77777777" w:rsidR="00F653C8" w:rsidRPr="00082F7B" w:rsidRDefault="00F653C8" w:rsidP="009474E6">
      <w:pPr>
        <w:pStyle w:val="Heading3"/>
        <w:rPr>
          <w:rFonts w:asciiTheme="majorHAnsi" w:hAnsiTheme="majorHAnsi"/>
          <w:szCs w:val="24"/>
          <w:lang w:val="sr-Latn-CS"/>
        </w:rPr>
      </w:pPr>
      <w:bookmarkStart w:id="25" w:name="_Toc459633524"/>
      <w:r w:rsidRPr="00082F7B">
        <w:rPr>
          <w:rFonts w:asciiTheme="majorHAnsi" w:hAnsiTheme="majorHAnsi"/>
          <w:szCs w:val="24"/>
          <w:lang w:val="sr-Latn-CS"/>
        </w:rPr>
        <w:lastRenderedPageBreak/>
        <w:t>Hidrogeološke karakteristike</w:t>
      </w:r>
      <w:bookmarkEnd w:id="25"/>
    </w:p>
    <w:p w14:paraId="56A1B903" w14:textId="77777777" w:rsidR="00F653C8" w:rsidRPr="00082F7B" w:rsidRDefault="00F653C8" w:rsidP="00F653C8">
      <w:pPr>
        <w:spacing w:after="0" w:line="240" w:lineRule="auto"/>
        <w:jc w:val="both"/>
        <w:rPr>
          <w:rFonts w:asciiTheme="majorHAnsi" w:hAnsiTheme="majorHAnsi" w:cstheme="minorHAnsi"/>
          <w:b/>
          <w:sz w:val="24"/>
          <w:szCs w:val="24"/>
          <w:lang w:val="sr-Latn-CS"/>
        </w:rPr>
      </w:pPr>
    </w:p>
    <w:p w14:paraId="15437E2F" w14:textId="77777777" w:rsidR="00F653C8"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Ležište „Štitarica-Taskavac“ u hidrogeološkon pogledu ne predstavlja sredinu povoljnu za sakupljanje značajnih količina podzemnih voda, koje bi u procesu eksploatacije pričinjavale poteškoće. </w:t>
      </w:r>
    </w:p>
    <w:p w14:paraId="594C9F99"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p>
    <w:p w14:paraId="6B939835"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 širem području konstatovana su dva izvora. Prvi je stalni izvor i nalazi se sjeverno od ležišta, u nivou aluvijalne ravni u neposrednoj blizini Štitaričke rijeke.U blizini uzvišenja Taskavac na nivou terasnih sedimenata, tj. na kontaktu ovih sedimenata i vulkanita, konstatovan je povremeni izvor srednje izdašnosti ispod 1 l/s.</w:t>
      </w:r>
      <w:r w:rsidR="00EA15A1"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Preko Štitaričke rijeke, kao stalnog vododtoka, kao i preko pomenutih izvora, vjerovatno se vrši dreniranje Taskavca i šireg područja. Rezultati ovih istraživanja prikazani su u vidu posebnog izvještaja koji se nalazi u Dokumentacionom materijalu – „Izvještaj o hidrogeološkim odlikama eruptiva Okrugličkog krša i krečnjaka Taskavca na lokalitetu Štitarica-Mojkovac“. U sastavu Izvještaja se nalazi Hidrogeološka karta šireg prostora lokaliteta Štitarice, 1:10 000, i hidrogeološki profil preko ležišta „Taskavac“ i „Okruglički krš“. U Izvještaju su dati rezultati istraživanja na osnovu kojih se mogu sagledati hidrgeološke prilike na istraživanom prostoru. Prema hidrogeološkim svojstvima stijenske mase,  koje su otkrivene u okviru ležišta i njegovoj okolini, mogu se podijeliti na propusne i nepropusne stijene.</w:t>
      </w:r>
    </w:p>
    <w:p w14:paraId="18430B1D"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p>
    <w:p w14:paraId="5F0E13B3"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Zavisno od zastupljenog tipa poroznosti, propusne stijene u donjem dijelu slivnog područja Štitaričke rijeke podijeljene su u dvije grupe. Prvoj grupi pripadaju nevezane i slabo vezane klastične naslage kvartarne starosti u koje spadaju riječni nanosi, današnja aluvijalna ravan i fluvioglacijalne terase. Drugoj grupi propusnih stijena  pripadaju masivni krečnjaci pukotinsko-kavernozne poroznosti. Kategoriji nepropusnih stijena na ovom području pripadaju eruptivne stijene i palezojski škriljci. Preko koijh leže istraživani krečnjaci.</w:t>
      </w:r>
    </w:p>
    <w:p w14:paraId="3A16B4C3"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p>
    <w:p w14:paraId="1421648D"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Istraživanja su pokazala da zaglinjeni terasni sedimenti i aluvijalni nanos, koji se odlikuju interglanuralnom poroznošću, mogu biti vodonosni horizonti na ovom području. Međutim, imajući u vidu njihov prostorni prostorni položaj u odnosu na ležište, oni ne mogu bitno uticati na ovodnjenost rudnog tijela, jer je, eventualna, eksploatacije planirana do nivoa aluvijalne terase. </w:t>
      </w:r>
    </w:p>
    <w:p w14:paraId="601B222E"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p>
    <w:p w14:paraId="0BFB17F4"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Padavine, zbog strmih padinskih strana, dobrim dijelom otiču, a manjim dijelom poniru. Otuda i odsustvo izdamnaka podzemnih voda po obodu krečnjaka. </w:t>
      </w:r>
    </w:p>
    <w:p w14:paraId="3AD2ABEE"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Pored svega ovoga, mogući su prodori podzemnih voda u budući površinski kop, ali samo u periodu visokih padavina i otapanja snijega.</w:t>
      </w:r>
      <w:r w:rsidR="00EA15A1"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Dreniranje kopa ne bi trebalo da zahtijeva složen i skup sistem odvodnavanja, već bi to bilo najjednostavnije raditi sistemom gravitacionih odvodnih kanala do Štitaričke rijeke.</w:t>
      </w:r>
    </w:p>
    <w:p w14:paraId="3F1A9D75" w14:textId="77777777" w:rsidR="005F7F4F" w:rsidRPr="00082F7B" w:rsidRDefault="005F7F4F" w:rsidP="00D6150B">
      <w:pPr>
        <w:suppressAutoHyphens w:val="0"/>
        <w:spacing w:after="0" w:line="240" w:lineRule="auto"/>
        <w:jc w:val="both"/>
        <w:rPr>
          <w:rFonts w:asciiTheme="majorHAnsi" w:hAnsiTheme="majorHAnsi" w:cstheme="minorHAnsi"/>
          <w:sz w:val="24"/>
          <w:szCs w:val="24"/>
          <w:lang w:val="sr-Latn-CS"/>
        </w:rPr>
      </w:pPr>
    </w:p>
    <w:p w14:paraId="7B175CBB" w14:textId="77777777" w:rsidR="00F653C8" w:rsidRPr="00082F7B" w:rsidRDefault="00F653C8" w:rsidP="009474E6">
      <w:pPr>
        <w:pStyle w:val="Heading3"/>
        <w:rPr>
          <w:rFonts w:asciiTheme="majorHAnsi" w:hAnsiTheme="majorHAnsi"/>
          <w:szCs w:val="24"/>
          <w:lang w:val="sr-Latn-CS"/>
        </w:rPr>
      </w:pPr>
      <w:bookmarkStart w:id="26" w:name="_Toc459633525"/>
      <w:r w:rsidRPr="00082F7B">
        <w:rPr>
          <w:rFonts w:asciiTheme="majorHAnsi" w:hAnsiTheme="majorHAnsi"/>
          <w:szCs w:val="24"/>
          <w:lang w:val="sr-Latn-CS"/>
        </w:rPr>
        <w:t>Inženjersko-geološke karakteristike ležišta</w:t>
      </w:r>
      <w:bookmarkEnd w:id="26"/>
    </w:p>
    <w:p w14:paraId="4A4D59DC" w14:textId="77777777" w:rsidR="00F653C8" w:rsidRPr="00082F7B" w:rsidRDefault="00F653C8" w:rsidP="00D6150B">
      <w:pPr>
        <w:suppressAutoHyphens w:val="0"/>
        <w:spacing w:after="0" w:line="240" w:lineRule="auto"/>
        <w:jc w:val="both"/>
        <w:rPr>
          <w:rFonts w:asciiTheme="majorHAnsi" w:hAnsiTheme="majorHAnsi" w:cstheme="minorHAnsi"/>
          <w:b/>
          <w:sz w:val="24"/>
          <w:szCs w:val="24"/>
          <w:lang w:val="sr-Latn-CS"/>
        </w:rPr>
      </w:pPr>
    </w:p>
    <w:p w14:paraId="147D245E" w14:textId="77777777" w:rsidR="00F653C8" w:rsidRPr="00082F7B" w:rsidRDefault="005F7F4F" w:rsidP="00D6150B">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lastRenderedPageBreak/>
        <w:t>Tokom izvođenja geoloških istraživanja 1</w:t>
      </w:r>
      <w:r w:rsidR="00D6150B" w:rsidRPr="00082F7B">
        <w:rPr>
          <w:rFonts w:asciiTheme="majorHAnsi" w:hAnsiTheme="majorHAnsi" w:cstheme="minorHAnsi"/>
          <w:sz w:val="24"/>
          <w:szCs w:val="24"/>
          <w:lang w:val="sr-Latn-CS"/>
        </w:rPr>
        <w:t>989. g</w:t>
      </w:r>
      <w:r w:rsidRPr="00082F7B">
        <w:rPr>
          <w:rFonts w:asciiTheme="majorHAnsi" w:hAnsiTheme="majorHAnsi" w:cstheme="minorHAnsi"/>
          <w:sz w:val="24"/>
          <w:szCs w:val="24"/>
          <w:lang w:val="sr-Latn-CS"/>
        </w:rPr>
        <w:t>odine urađeno je inženjersko-geološko kartiranje terena sa izdvajanjem inženjersko-geoloških jedinica i kompleksa stijenskih masa.</w:t>
      </w:r>
    </w:p>
    <w:p w14:paraId="1FE8DCA7" w14:textId="77777777" w:rsidR="00D6150B" w:rsidRPr="00082F7B" w:rsidRDefault="00D6150B" w:rsidP="00D6150B">
      <w:pPr>
        <w:pStyle w:val="BodyTextIndent"/>
        <w:tabs>
          <w:tab w:val="left" w:pos="-2430"/>
        </w:tabs>
        <w:spacing w:after="0" w:line="240" w:lineRule="auto"/>
        <w:ind w:left="0"/>
        <w:jc w:val="both"/>
        <w:rPr>
          <w:rFonts w:asciiTheme="majorHAnsi" w:hAnsiTheme="majorHAnsi" w:cstheme="minorHAnsi"/>
          <w:sz w:val="24"/>
          <w:szCs w:val="24"/>
          <w:lang w:val="sr-Latn-CS"/>
        </w:rPr>
      </w:pPr>
    </w:p>
    <w:p w14:paraId="4365B67A" w14:textId="77777777" w:rsidR="00D6150B" w:rsidRPr="00082F7B" w:rsidRDefault="005F7F4F" w:rsidP="00D6150B">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inženjersko-geološkom pogledu ležište „Štitarica-Taskavac“ izgrađuju sljedeće grupe stijenskih masa: kompleks nevezanih i vezanih neokamenjenih stijenskih masa i vezane dobro okamenjene stijenske mase.</w:t>
      </w:r>
    </w:p>
    <w:p w14:paraId="30164EEC" w14:textId="77777777" w:rsidR="00D6150B" w:rsidRPr="00082F7B" w:rsidRDefault="00D6150B" w:rsidP="00D6150B">
      <w:pPr>
        <w:pStyle w:val="BodyTextIndent"/>
        <w:tabs>
          <w:tab w:val="left" w:pos="-2430"/>
        </w:tabs>
        <w:spacing w:after="0" w:line="240" w:lineRule="auto"/>
        <w:ind w:left="0"/>
        <w:jc w:val="both"/>
        <w:rPr>
          <w:rFonts w:asciiTheme="majorHAnsi" w:hAnsiTheme="majorHAnsi" w:cstheme="minorHAnsi"/>
          <w:sz w:val="24"/>
          <w:szCs w:val="24"/>
          <w:lang w:val="sr-Latn-CS"/>
        </w:rPr>
      </w:pPr>
    </w:p>
    <w:p w14:paraId="62DE7D16" w14:textId="77777777" w:rsidR="00D6150B" w:rsidRPr="00082F7B" w:rsidRDefault="00D6150B" w:rsidP="00F653C8">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r w:rsidRPr="00082F7B">
        <w:rPr>
          <w:rFonts w:asciiTheme="majorHAnsi" w:hAnsiTheme="majorHAnsi" w:cstheme="minorHAnsi"/>
          <w:sz w:val="24"/>
          <w:szCs w:val="24"/>
          <w:lang w:val="sr-Latn-CS"/>
        </w:rPr>
        <w:t xml:space="preserve">Prvoj grupi stijenskih masa pripada deluvijalni nanos izgrađen od nezaobljene karbonatne drobine, pjeskovite gline i prašine, kao i komada i blokova krečnjaka. </w:t>
      </w:r>
      <w:r w:rsidRPr="00082F7B">
        <w:rPr>
          <w:rFonts w:asciiTheme="majorHAnsi" w:hAnsiTheme="majorHAnsi" w:cstheme="minorHAnsi"/>
          <w:color w:val="000000"/>
          <w:sz w:val="24"/>
          <w:szCs w:val="24"/>
          <w:lang w:val="sr-Latn-CS"/>
        </w:rPr>
        <w:t>Ove stijenske mase okružuju kompletan krečnjački masiv gradeći vrlo strme jugozapadne, zapadne, sjeverozapadne i sjeverne padine, dok su ostale padine pod mnogo blažim uglom. S obzirom na prosječnu debljinu za koju se predpostavlja da je oko 3 m i strme padine čiji nagib iznosi 40-45</w:t>
      </w:r>
      <w:r w:rsidRPr="00082F7B">
        <w:rPr>
          <w:rFonts w:asciiTheme="majorHAnsi" w:hAnsiTheme="majorHAnsi" w:cstheme="minorHAnsi"/>
          <w:color w:val="000000"/>
          <w:sz w:val="24"/>
          <w:szCs w:val="24"/>
          <w:vertAlign w:val="superscript"/>
          <w:lang w:val="sr-Latn-CS"/>
        </w:rPr>
        <w:t>o</w:t>
      </w:r>
      <w:r w:rsidR="00EA15A1" w:rsidRPr="00082F7B">
        <w:rPr>
          <w:rFonts w:asciiTheme="majorHAnsi" w:hAnsiTheme="majorHAnsi" w:cstheme="minorHAnsi"/>
          <w:color w:val="000000"/>
          <w:sz w:val="24"/>
          <w:szCs w:val="24"/>
          <w:lang w:val="sr-Latn-CS"/>
        </w:rPr>
        <w:t>,</w:t>
      </w:r>
      <w:r w:rsidR="00EA15A1" w:rsidRPr="00082F7B">
        <w:rPr>
          <w:rFonts w:asciiTheme="majorHAnsi" w:hAnsiTheme="majorHAnsi" w:cstheme="minorHAnsi"/>
          <w:color w:val="000000"/>
          <w:sz w:val="24"/>
          <w:szCs w:val="24"/>
          <w:vertAlign w:val="superscript"/>
          <w:lang w:val="sr-Latn-CS"/>
        </w:rPr>
        <w:t xml:space="preserve"> </w:t>
      </w:r>
      <w:r w:rsidRPr="00082F7B">
        <w:rPr>
          <w:rFonts w:asciiTheme="majorHAnsi" w:hAnsiTheme="majorHAnsi" w:cstheme="minorHAnsi"/>
          <w:color w:val="000000"/>
          <w:sz w:val="24"/>
          <w:szCs w:val="24"/>
          <w:lang w:val="sr-Latn-CS"/>
        </w:rPr>
        <w:t xml:space="preserve"> ovi sedimenti u inženjersko-geološkim uslovima čine nestabilne-deformabilne padine. Ovo se posebno odnosi na sjevernu i zapadnu padinu gdje je deluvijum najveće debljine i u kojem se nalaze pokrenuti blokovi krečnjaka velike zapremine. </w:t>
      </w:r>
    </w:p>
    <w:p w14:paraId="0C71AE88" w14:textId="77777777" w:rsidR="00D6150B" w:rsidRPr="00082F7B" w:rsidRDefault="00D6150B" w:rsidP="00F653C8">
      <w:pPr>
        <w:pStyle w:val="BodyTextIndent"/>
        <w:tabs>
          <w:tab w:val="left" w:pos="-2430"/>
        </w:tabs>
        <w:spacing w:after="0" w:line="240" w:lineRule="auto"/>
        <w:ind w:left="0"/>
        <w:jc w:val="both"/>
        <w:rPr>
          <w:rFonts w:asciiTheme="majorHAnsi" w:hAnsiTheme="majorHAnsi" w:cstheme="minorHAnsi"/>
          <w:color w:val="000000"/>
          <w:sz w:val="24"/>
          <w:szCs w:val="24"/>
          <w:lang w:val="sr-Latn-CS"/>
        </w:rPr>
      </w:pPr>
    </w:p>
    <w:p w14:paraId="00413C5A" w14:textId="77777777" w:rsidR="00ED0C0A" w:rsidRPr="00082F7B" w:rsidRDefault="00D6150B" w:rsidP="00F653C8">
      <w:pPr>
        <w:pStyle w:val="BodyTextIndent"/>
        <w:tabs>
          <w:tab w:val="left" w:pos="-2430"/>
        </w:tabs>
        <w:spacing w:after="0" w:line="240" w:lineRule="auto"/>
        <w:ind w:left="0"/>
        <w:jc w:val="both"/>
        <w:rPr>
          <w:rFonts w:asciiTheme="majorHAnsi" w:hAnsiTheme="majorHAnsi" w:cstheme="minorHAnsi"/>
          <w:sz w:val="24"/>
          <w:szCs w:val="24"/>
          <w:lang w:val="sr-Latn-CS"/>
        </w:rPr>
      </w:pPr>
      <w:r w:rsidRPr="00082F7B">
        <w:rPr>
          <w:rFonts w:asciiTheme="majorHAnsi" w:hAnsiTheme="majorHAnsi" w:cstheme="minorHAnsi"/>
          <w:color w:val="000000"/>
          <w:sz w:val="24"/>
          <w:szCs w:val="24"/>
          <w:lang w:val="sr-Latn-CS"/>
        </w:rPr>
        <w:t>Drugu grupu čine vezani dobro okamenjeni sparitski prekristalisali krečnjaci. Na lokalitetima gdje nijesu tektonski oštećeni mogu se planirati subvertikalni zasjeci,  jer takvi već postoje u prirodnim uslovima do visine 15 do 20 m. Kod izvođenja vještačkih kosina na lokalitetima, gdje su oni značajnije tektonski oštećeni, treba obratiti pažnju na njihov položaj u odnosu na orjentaciju i raspored diskontinuiteta.  Diskontinuiteti imaju pravce pružanja u svim pravcima, ali  dominiraju diskontinuiteti pravca pružanja sjeverozapad-jugoistok, i to: 150-160</w:t>
      </w:r>
      <w:r w:rsidRPr="00082F7B">
        <w:rPr>
          <w:rFonts w:asciiTheme="majorHAnsi" w:hAnsiTheme="majorHAnsi" w:cstheme="minorHAnsi"/>
          <w:color w:val="000000"/>
          <w:sz w:val="24"/>
          <w:szCs w:val="24"/>
          <w:vertAlign w:val="superscript"/>
          <w:lang w:val="sr-Latn-CS"/>
        </w:rPr>
        <w:t>o</w:t>
      </w:r>
      <w:r w:rsidRPr="00082F7B">
        <w:rPr>
          <w:rFonts w:asciiTheme="majorHAnsi" w:hAnsiTheme="majorHAnsi" w:cstheme="minorHAnsi"/>
          <w:color w:val="000000"/>
          <w:sz w:val="24"/>
          <w:szCs w:val="24"/>
          <w:lang w:val="sr-Latn-CS"/>
        </w:rPr>
        <w:t>, 330-340</w:t>
      </w:r>
      <w:r w:rsidRPr="00082F7B">
        <w:rPr>
          <w:rFonts w:asciiTheme="majorHAnsi" w:hAnsiTheme="majorHAnsi" w:cstheme="minorHAnsi"/>
          <w:color w:val="000000"/>
          <w:sz w:val="24"/>
          <w:szCs w:val="24"/>
          <w:vertAlign w:val="superscript"/>
          <w:lang w:val="sr-Latn-CS"/>
        </w:rPr>
        <w:t>o</w:t>
      </w:r>
      <w:r w:rsidR="001B58C9" w:rsidRPr="00082F7B">
        <w:rPr>
          <w:rFonts w:asciiTheme="majorHAnsi" w:hAnsiTheme="majorHAnsi" w:cstheme="minorHAnsi"/>
          <w:color w:val="000000"/>
          <w:sz w:val="24"/>
          <w:szCs w:val="24"/>
          <w:lang w:val="sr-Latn-CS"/>
        </w:rPr>
        <w:t xml:space="preserve">, tako </w:t>
      </w:r>
      <w:r w:rsidRPr="00082F7B">
        <w:rPr>
          <w:rFonts w:asciiTheme="majorHAnsi" w:hAnsiTheme="majorHAnsi" w:cstheme="minorHAnsi"/>
          <w:color w:val="000000"/>
          <w:sz w:val="24"/>
          <w:szCs w:val="24"/>
          <w:lang w:val="sr-Latn-CS"/>
        </w:rPr>
        <w:t>da na ove diskontinuitete treba obratiti posebnu pažnju. Povoljnost kod registrovanih diskontinuiteta ogleda se u njihvom padnom uglu koji najčešće iznosi preko 70</w:t>
      </w:r>
      <w:r w:rsidRPr="00082F7B">
        <w:rPr>
          <w:rFonts w:asciiTheme="majorHAnsi" w:hAnsiTheme="majorHAnsi" w:cstheme="minorHAnsi"/>
          <w:color w:val="000000"/>
          <w:sz w:val="24"/>
          <w:szCs w:val="24"/>
          <w:vertAlign w:val="superscript"/>
          <w:lang w:val="sr-Latn-CS"/>
        </w:rPr>
        <w:t>o</w:t>
      </w:r>
      <w:r w:rsidR="001B58C9" w:rsidRPr="00082F7B">
        <w:rPr>
          <w:rFonts w:asciiTheme="majorHAnsi" w:hAnsiTheme="majorHAnsi" w:cstheme="minorHAnsi"/>
          <w:color w:val="000000"/>
          <w:sz w:val="24"/>
          <w:szCs w:val="24"/>
          <w:lang w:val="sr-Latn-CS"/>
        </w:rPr>
        <w:t>. Š</w:t>
      </w:r>
      <w:r w:rsidRPr="00082F7B">
        <w:rPr>
          <w:rFonts w:asciiTheme="majorHAnsi" w:hAnsiTheme="majorHAnsi" w:cstheme="minorHAnsi"/>
          <w:color w:val="000000"/>
          <w:sz w:val="24"/>
          <w:szCs w:val="24"/>
          <w:lang w:val="sr-Latn-CS"/>
        </w:rPr>
        <w:t xml:space="preserve">to se tiče stabilnosti najugroženije područje </w:t>
      </w:r>
      <w:r w:rsidR="001B58C9" w:rsidRPr="00082F7B">
        <w:rPr>
          <w:rFonts w:asciiTheme="majorHAnsi" w:hAnsiTheme="majorHAnsi" w:cstheme="minorHAnsi"/>
          <w:color w:val="000000"/>
          <w:sz w:val="24"/>
          <w:szCs w:val="24"/>
          <w:lang w:val="sr-Latn-CS"/>
        </w:rPr>
        <w:t xml:space="preserve">je </w:t>
      </w:r>
      <w:r w:rsidRPr="00082F7B">
        <w:rPr>
          <w:rFonts w:asciiTheme="majorHAnsi" w:hAnsiTheme="majorHAnsi" w:cstheme="minorHAnsi"/>
          <w:color w:val="000000"/>
          <w:sz w:val="24"/>
          <w:szCs w:val="24"/>
          <w:lang w:val="sr-Latn-CS"/>
        </w:rPr>
        <w:t>oko hektometarskih diskontinuiteta sa pravcem pružanja 112-292</w:t>
      </w:r>
      <w:r w:rsidRPr="00082F7B">
        <w:rPr>
          <w:rFonts w:asciiTheme="majorHAnsi" w:hAnsiTheme="majorHAnsi" w:cstheme="minorHAnsi"/>
          <w:color w:val="000000"/>
          <w:sz w:val="24"/>
          <w:szCs w:val="24"/>
          <w:vertAlign w:val="superscript"/>
          <w:lang w:val="sr-Latn-CS"/>
        </w:rPr>
        <w:t>o</w:t>
      </w:r>
      <w:r w:rsidRPr="00082F7B">
        <w:rPr>
          <w:rFonts w:asciiTheme="majorHAnsi" w:hAnsiTheme="majorHAnsi" w:cstheme="minorHAnsi"/>
          <w:color w:val="000000"/>
          <w:sz w:val="24"/>
          <w:szCs w:val="24"/>
          <w:lang w:val="sr-Latn-CS"/>
        </w:rPr>
        <w:t>, 154-334</w:t>
      </w:r>
      <w:r w:rsidRPr="00082F7B">
        <w:rPr>
          <w:rFonts w:asciiTheme="majorHAnsi" w:hAnsiTheme="majorHAnsi" w:cstheme="minorHAnsi"/>
          <w:color w:val="000000"/>
          <w:sz w:val="24"/>
          <w:szCs w:val="24"/>
          <w:vertAlign w:val="superscript"/>
          <w:lang w:val="sr-Latn-CS"/>
        </w:rPr>
        <w:t>o</w:t>
      </w:r>
      <w:r w:rsidRPr="00082F7B">
        <w:rPr>
          <w:rFonts w:asciiTheme="majorHAnsi" w:hAnsiTheme="majorHAnsi" w:cstheme="minorHAnsi"/>
          <w:color w:val="000000"/>
          <w:sz w:val="24"/>
          <w:szCs w:val="24"/>
          <w:lang w:val="sr-Latn-CS"/>
        </w:rPr>
        <w:t xml:space="preserve"> i 48-228</w:t>
      </w:r>
      <w:r w:rsidRPr="00082F7B">
        <w:rPr>
          <w:rFonts w:asciiTheme="majorHAnsi" w:hAnsiTheme="majorHAnsi" w:cstheme="minorHAnsi"/>
          <w:color w:val="000000"/>
          <w:sz w:val="24"/>
          <w:szCs w:val="24"/>
          <w:vertAlign w:val="superscript"/>
          <w:lang w:val="sr-Latn-CS"/>
        </w:rPr>
        <w:t>o</w:t>
      </w:r>
      <w:r w:rsidRPr="00082F7B">
        <w:rPr>
          <w:rFonts w:asciiTheme="majorHAnsi" w:hAnsiTheme="majorHAnsi" w:cstheme="minorHAnsi"/>
          <w:color w:val="000000"/>
          <w:sz w:val="24"/>
          <w:szCs w:val="24"/>
          <w:lang w:val="sr-Latn-CS"/>
        </w:rPr>
        <w:t>, na sjevernom dijelu masiva. Na ovom području masiv je dosta tektonski oštećen, pa i na njega</w:t>
      </w:r>
      <w:r w:rsidR="001B58C9" w:rsidRPr="00082F7B">
        <w:rPr>
          <w:rFonts w:asciiTheme="majorHAnsi" w:hAnsiTheme="majorHAnsi" w:cstheme="minorHAnsi"/>
          <w:color w:val="000000"/>
          <w:sz w:val="24"/>
          <w:szCs w:val="24"/>
          <w:lang w:val="sr-Latn-CS"/>
        </w:rPr>
        <w:t xml:space="preserve"> treba obratiti posebnu pažnju. U</w:t>
      </w:r>
      <w:r w:rsidRPr="00082F7B">
        <w:rPr>
          <w:rFonts w:asciiTheme="majorHAnsi" w:hAnsiTheme="majorHAnsi" w:cstheme="minorHAnsi"/>
          <w:color w:val="000000"/>
          <w:sz w:val="24"/>
          <w:szCs w:val="24"/>
          <w:lang w:val="sr-Latn-CS"/>
        </w:rPr>
        <w:t>kupno gledajući, najveću stabilnost vještačkim kosinama</w:t>
      </w:r>
      <w:r w:rsidR="001B58C9" w:rsidRPr="00082F7B">
        <w:rPr>
          <w:rFonts w:asciiTheme="majorHAnsi" w:hAnsiTheme="majorHAnsi" w:cstheme="minorHAnsi"/>
          <w:color w:val="000000"/>
          <w:sz w:val="24"/>
          <w:szCs w:val="24"/>
          <w:lang w:val="sr-Latn-CS"/>
        </w:rPr>
        <w:t>,</w:t>
      </w:r>
      <w:r w:rsidRPr="00082F7B">
        <w:rPr>
          <w:rFonts w:asciiTheme="majorHAnsi" w:hAnsiTheme="majorHAnsi" w:cstheme="minorHAnsi"/>
          <w:color w:val="000000"/>
          <w:sz w:val="24"/>
          <w:szCs w:val="24"/>
          <w:lang w:val="sr-Latn-CS"/>
        </w:rPr>
        <w:t xml:space="preserve"> u odnosu na diskontinualnost</w:t>
      </w:r>
      <w:r w:rsidR="001B58C9" w:rsidRPr="00082F7B">
        <w:rPr>
          <w:rFonts w:asciiTheme="majorHAnsi" w:hAnsiTheme="majorHAnsi" w:cstheme="minorHAnsi"/>
          <w:color w:val="000000"/>
          <w:sz w:val="24"/>
          <w:szCs w:val="24"/>
          <w:lang w:val="sr-Latn-CS"/>
        </w:rPr>
        <w:t>,</w:t>
      </w:r>
      <w:r w:rsidRPr="00082F7B">
        <w:rPr>
          <w:rFonts w:asciiTheme="majorHAnsi" w:hAnsiTheme="majorHAnsi" w:cstheme="minorHAnsi"/>
          <w:color w:val="000000"/>
          <w:sz w:val="24"/>
          <w:szCs w:val="24"/>
          <w:lang w:val="sr-Latn-CS"/>
        </w:rPr>
        <w:t xml:space="preserve"> </w:t>
      </w:r>
      <w:r w:rsidR="001B58C9" w:rsidRPr="00082F7B">
        <w:rPr>
          <w:rFonts w:asciiTheme="majorHAnsi" w:hAnsiTheme="majorHAnsi" w:cstheme="minorHAnsi"/>
          <w:color w:val="000000"/>
          <w:sz w:val="24"/>
          <w:szCs w:val="24"/>
          <w:lang w:val="sr-Latn-CS"/>
        </w:rPr>
        <w:t xml:space="preserve"> će </w:t>
      </w:r>
      <w:r w:rsidRPr="00082F7B">
        <w:rPr>
          <w:rFonts w:asciiTheme="majorHAnsi" w:hAnsiTheme="majorHAnsi" w:cstheme="minorHAnsi"/>
          <w:color w:val="000000"/>
          <w:sz w:val="24"/>
          <w:szCs w:val="24"/>
          <w:lang w:val="sr-Latn-CS"/>
        </w:rPr>
        <w:t>imati kosine sa upravnim pravcem pružanja na pravac pružanja diskontinuiteta ili paralelnim pružanjem u odnosu na njih, ali sa suprotnim padom.</w:t>
      </w:r>
    </w:p>
    <w:p w14:paraId="61B4EADC" w14:textId="77777777" w:rsidR="00ED0C0A" w:rsidRPr="00082F7B" w:rsidRDefault="00ED0C0A" w:rsidP="00F653C8">
      <w:pPr>
        <w:pStyle w:val="BodyTextIndent"/>
        <w:tabs>
          <w:tab w:val="left" w:pos="-2430"/>
        </w:tabs>
        <w:spacing w:after="0" w:line="240" w:lineRule="auto"/>
        <w:ind w:left="0"/>
        <w:jc w:val="both"/>
        <w:rPr>
          <w:rFonts w:asciiTheme="majorHAnsi" w:hAnsiTheme="majorHAnsi" w:cstheme="minorHAnsi"/>
          <w:sz w:val="24"/>
          <w:szCs w:val="24"/>
          <w:lang w:val="sr-Latn-CS"/>
        </w:rPr>
      </w:pPr>
    </w:p>
    <w:p w14:paraId="4877EA41" w14:textId="77777777" w:rsidR="00CC506B" w:rsidRPr="00082F7B" w:rsidRDefault="00CC506B" w:rsidP="00F653C8">
      <w:pPr>
        <w:pStyle w:val="BodyTextIndent"/>
        <w:tabs>
          <w:tab w:val="left" w:pos="-2430"/>
        </w:tabs>
        <w:spacing w:after="0" w:line="240" w:lineRule="auto"/>
        <w:ind w:left="0"/>
        <w:jc w:val="both"/>
        <w:rPr>
          <w:rFonts w:asciiTheme="majorHAnsi" w:hAnsiTheme="majorHAnsi" w:cstheme="minorHAnsi"/>
          <w:sz w:val="24"/>
          <w:szCs w:val="24"/>
          <w:lang w:val="sr-Latn-CS"/>
        </w:rPr>
      </w:pPr>
    </w:p>
    <w:p w14:paraId="3B62A0CC" w14:textId="77777777" w:rsidR="00CC506B" w:rsidRPr="00082F7B" w:rsidRDefault="00CC506B" w:rsidP="00F653C8">
      <w:pPr>
        <w:pStyle w:val="BodyTextIndent"/>
        <w:tabs>
          <w:tab w:val="left" w:pos="-2430"/>
        </w:tabs>
        <w:spacing w:after="0" w:line="240" w:lineRule="auto"/>
        <w:ind w:left="0"/>
        <w:jc w:val="both"/>
        <w:rPr>
          <w:rFonts w:asciiTheme="majorHAnsi" w:hAnsiTheme="majorHAnsi" w:cstheme="minorHAnsi"/>
          <w:sz w:val="24"/>
          <w:szCs w:val="24"/>
          <w:lang w:val="sr-Latn-CS"/>
        </w:rPr>
      </w:pPr>
    </w:p>
    <w:p w14:paraId="74A2F387" w14:textId="77777777" w:rsidR="00F653C8" w:rsidRPr="00082F7B" w:rsidRDefault="00F653C8" w:rsidP="009474E6">
      <w:pPr>
        <w:pStyle w:val="Heading3"/>
        <w:rPr>
          <w:rFonts w:asciiTheme="majorHAnsi" w:hAnsiTheme="majorHAnsi"/>
          <w:szCs w:val="24"/>
          <w:lang w:val="sr-Latn-CS"/>
        </w:rPr>
      </w:pPr>
      <w:bookmarkStart w:id="27" w:name="_Toc402262932"/>
      <w:bookmarkStart w:id="28" w:name="_Toc459633526"/>
      <w:r w:rsidRPr="00082F7B">
        <w:rPr>
          <w:rFonts w:asciiTheme="majorHAnsi" w:hAnsiTheme="majorHAnsi"/>
          <w:szCs w:val="24"/>
          <w:lang w:val="sr-Latn-CS"/>
        </w:rPr>
        <w:t>Rezerve i kvalitet mineralne sirovine</w:t>
      </w:r>
      <w:bookmarkEnd w:id="27"/>
      <w:bookmarkEnd w:id="28"/>
    </w:p>
    <w:p w14:paraId="2A658911" w14:textId="77777777" w:rsidR="00F653C8" w:rsidRPr="00082F7B" w:rsidRDefault="00F653C8" w:rsidP="00F653C8">
      <w:pPr>
        <w:spacing w:after="0"/>
        <w:jc w:val="both"/>
        <w:rPr>
          <w:rFonts w:asciiTheme="majorHAnsi" w:hAnsiTheme="majorHAnsi"/>
          <w:sz w:val="24"/>
          <w:szCs w:val="24"/>
          <w:lang w:val="sr-Latn-CS"/>
        </w:rPr>
      </w:pPr>
    </w:p>
    <w:p w14:paraId="144810F1" w14:textId="77777777" w:rsidR="001B58C9" w:rsidRPr="00082F7B" w:rsidRDefault="001B58C9" w:rsidP="001B58C9">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„Elaboratu o klasifikaciji, kategorizaciji i proračunu rezervi tehničko-građevinskog kamena</w:t>
      </w:r>
      <w:r w:rsidR="00EA15A1" w:rsidRPr="00082F7B">
        <w:rPr>
          <w:rFonts w:asciiTheme="majorHAnsi" w:hAnsiTheme="majorHAnsi" w:cstheme="minorHAnsi"/>
          <w:sz w:val="24"/>
          <w:szCs w:val="24"/>
          <w:lang w:val="sr-Latn-CS"/>
        </w:rPr>
        <w:t xml:space="preserve"> (krečnjaka)</w:t>
      </w:r>
      <w:r w:rsidRPr="00082F7B">
        <w:rPr>
          <w:rFonts w:asciiTheme="majorHAnsi" w:hAnsiTheme="majorHAnsi" w:cstheme="minorHAnsi"/>
          <w:sz w:val="24"/>
          <w:szCs w:val="24"/>
          <w:lang w:val="sr-Latn-CS"/>
        </w:rPr>
        <w:t xml:space="preserve"> ležišta „Taskavac“-Štitarica kod Mojkovca, stanje 31.12.2012. godine“ utvrđene su:</w:t>
      </w:r>
    </w:p>
    <w:p w14:paraId="367A29CD" w14:textId="77777777" w:rsidR="00CC506B" w:rsidRPr="00082F7B" w:rsidRDefault="00CC506B" w:rsidP="001B58C9">
      <w:pPr>
        <w:spacing w:line="240" w:lineRule="auto"/>
        <w:jc w:val="both"/>
        <w:rPr>
          <w:rFonts w:asciiTheme="majorHAnsi" w:hAnsiTheme="majorHAnsi" w:cstheme="minorHAnsi"/>
          <w:sz w:val="24"/>
          <w:szCs w:val="24"/>
          <w:lang w:val="sr-Latn-CS"/>
        </w:rPr>
      </w:pPr>
    </w:p>
    <w:p w14:paraId="2BBEB722" w14:textId="77777777" w:rsidR="001B58C9" w:rsidRPr="00082F7B" w:rsidRDefault="001B58C9" w:rsidP="001B58C9">
      <w:pPr>
        <w:suppressAutoHyphens w:val="0"/>
        <w:spacing w:after="0" w:line="240" w:lineRule="auto"/>
        <w:jc w:val="both"/>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Ukupne geološke, bilansne i eksploatacione rezerve tehničko-građevinskog kamena, kako slijedi:</w:t>
      </w:r>
    </w:p>
    <w:p w14:paraId="4E845510" w14:textId="77777777" w:rsidR="001B58C9" w:rsidRPr="00082F7B" w:rsidRDefault="001B58C9" w:rsidP="001B58C9">
      <w:pPr>
        <w:spacing w:line="240" w:lineRule="auto"/>
        <w:ind w:left="360"/>
        <w:jc w:val="both"/>
        <w:rPr>
          <w:rFonts w:asciiTheme="majorHAnsi" w:hAnsiTheme="majorHAnsi" w:cstheme="minorHAnsi"/>
          <w:sz w:val="24"/>
          <w:szCs w:val="24"/>
          <w:lang w:val="sr-Latn-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
        <w:gridCol w:w="1969"/>
        <w:gridCol w:w="1873"/>
        <w:gridCol w:w="1873"/>
        <w:gridCol w:w="1901"/>
      </w:tblGrid>
      <w:tr w:rsidR="001B58C9" w:rsidRPr="00082F7B" w14:paraId="65D89F4F" w14:textId="77777777" w:rsidTr="001B58C9">
        <w:trPr>
          <w:jc w:val="center"/>
        </w:trPr>
        <w:tc>
          <w:tcPr>
            <w:tcW w:w="526" w:type="dxa"/>
            <w:vMerge w:val="restart"/>
            <w:tcBorders>
              <w:top w:val="nil"/>
              <w:left w:val="nil"/>
              <w:right w:val="single" w:sz="12" w:space="0" w:color="auto"/>
            </w:tcBorders>
          </w:tcPr>
          <w:p w14:paraId="45C02C1E" w14:textId="77777777" w:rsidR="001B58C9" w:rsidRPr="00082F7B" w:rsidRDefault="001B58C9" w:rsidP="001B58C9">
            <w:pPr>
              <w:spacing w:line="240" w:lineRule="auto"/>
              <w:rPr>
                <w:rFonts w:asciiTheme="majorHAnsi" w:hAnsiTheme="majorHAnsi" w:cstheme="minorHAnsi"/>
                <w:b/>
                <w:sz w:val="24"/>
                <w:szCs w:val="24"/>
                <w:lang w:val="sr-Latn-CS"/>
              </w:rPr>
            </w:pPr>
          </w:p>
        </w:tc>
        <w:tc>
          <w:tcPr>
            <w:tcW w:w="1969" w:type="dxa"/>
            <w:vMerge w:val="restart"/>
            <w:tcBorders>
              <w:top w:val="single" w:sz="12" w:space="0" w:color="auto"/>
              <w:left w:val="single" w:sz="12" w:space="0" w:color="auto"/>
              <w:right w:val="single" w:sz="12" w:space="0" w:color="auto"/>
            </w:tcBorders>
            <w:shd w:val="clear" w:color="auto" w:fill="FFFFFF" w:themeFill="background1"/>
          </w:tcPr>
          <w:p w14:paraId="7869448D" w14:textId="77777777" w:rsidR="001B58C9" w:rsidRPr="00082F7B" w:rsidRDefault="001B58C9" w:rsidP="001B58C9">
            <w:pPr>
              <w:spacing w:line="240" w:lineRule="auto"/>
              <w:jc w:val="center"/>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Rezerve</w:t>
            </w:r>
          </w:p>
        </w:tc>
        <w:tc>
          <w:tcPr>
            <w:tcW w:w="3746" w:type="dxa"/>
            <w:gridSpan w:val="2"/>
            <w:tcBorders>
              <w:top w:val="single" w:sz="12" w:space="0" w:color="auto"/>
              <w:left w:val="single" w:sz="12" w:space="0" w:color="auto"/>
              <w:bottom w:val="single" w:sz="12" w:space="0" w:color="auto"/>
              <w:right w:val="single" w:sz="12" w:space="0" w:color="auto"/>
            </w:tcBorders>
            <w:shd w:val="clear" w:color="auto" w:fill="FFFFFF" w:themeFill="background1"/>
          </w:tcPr>
          <w:p w14:paraId="7977C443" w14:textId="77777777" w:rsidR="001B58C9" w:rsidRPr="00082F7B" w:rsidRDefault="001B58C9" w:rsidP="001B58C9">
            <w:pPr>
              <w:spacing w:line="240" w:lineRule="auto"/>
              <w:jc w:val="center"/>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Kategorija</w:t>
            </w:r>
          </w:p>
        </w:tc>
        <w:tc>
          <w:tcPr>
            <w:tcW w:w="1901" w:type="dxa"/>
            <w:vMerge w:val="restart"/>
            <w:tcBorders>
              <w:top w:val="single" w:sz="12" w:space="0" w:color="auto"/>
              <w:left w:val="single" w:sz="12" w:space="0" w:color="auto"/>
              <w:right w:val="single" w:sz="12" w:space="0" w:color="auto"/>
            </w:tcBorders>
            <w:shd w:val="clear" w:color="auto" w:fill="FFFFFF" w:themeFill="background1"/>
          </w:tcPr>
          <w:p w14:paraId="02B1460A" w14:textId="77777777" w:rsidR="001B58C9" w:rsidRPr="00082F7B" w:rsidRDefault="001B58C9" w:rsidP="001B58C9">
            <w:pPr>
              <w:spacing w:line="240" w:lineRule="auto"/>
              <w:jc w:val="center"/>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Ukupne rezerve  (m</w:t>
            </w:r>
            <w:r w:rsidRPr="00082F7B">
              <w:rPr>
                <w:rFonts w:asciiTheme="majorHAnsi" w:hAnsiTheme="majorHAnsi" w:cstheme="minorHAnsi"/>
                <w:b/>
                <w:sz w:val="24"/>
                <w:szCs w:val="24"/>
                <w:vertAlign w:val="superscript"/>
                <w:lang w:val="sr-Latn-CS"/>
              </w:rPr>
              <w:t>3</w:t>
            </w:r>
            <w:r w:rsidRPr="00082F7B">
              <w:rPr>
                <w:rFonts w:asciiTheme="majorHAnsi" w:hAnsiTheme="majorHAnsi" w:cstheme="minorHAnsi"/>
                <w:b/>
                <w:sz w:val="24"/>
                <w:szCs w:val="24"/>
                <w:lang w:val="sr-Latn-CS"/>
              </w:rPr>
              <w:t>)</w:t>
            </w:r>
            <w:r w:rsidRPr="00082F7B">
              <w:rPr>
                <w:rFonts w:asciiTheme="majorHAnsi" w:hAnsiTheme="majorHAnsi" w:cstheme="minorHAnsi"/>
                <w:b/>
                <w:sz w:val="24"/>
                <w:szCs w:val="24"/>
                <w:vertAlign w:val="superscript"/>
                <w:lang w:val="sr-Latn-CS"/>
              </w:rPr>
              <w:t xml:space="preserve">   </w:t>
            </w:r>
          </w:p>
        </w:tc>
      </w:tr>
      <w:tr w:rsidR="001B58C9" w:rsidRPr="00082F7B" w14:paraId="0D5DC68F" w14:textId="77777777" w:rsidTr="001B58C9">
        <w:trPr>
          <w:trHeight w:val="258"/>
          <w:jc w:val="center"/>
        </w:trPr>
        <w:tc>
          <w:tcPr>
            <w:tcW w:w="526" w:type="dxa"/>
            <w:vMerge/>
            <w:tcBorders>
              <w:left w:val="nil"/>
              <w:bottom w:val="single" w:sz="12" w:space="0" w:color="auto"/>
              <w:right w:val="single" w:sz="12" w:space="0" w:color="auto"/>
            </w:tcBorders>
          </w:tcPr>
          <w:p w14:paraId="426483F3" w14:textId="77777777" w:rsidR="001B58C9" w:rsidRPr="00082F7B" w:rsidRDefault="001B58C9" w:rsidP="001B58C9">
            <w:pPr>
              <w:spacing w:line="240" w:lineRule="auto"/>
              <w:jc w:val="center"/>
              <w:rPr>
                <w:rFonts w:asciiTheme="majorHAnsi" w:hAnsiTheme="majorHAnsi" w:cstheme="minorHAnsi"/>
                <w:b/>
                <w:sz w:val="24"/>
                <w:szCs w:val="24"/>
                <w:lang w:val="sr-Latn-CS"/>
              </w:rPr>
            </w:pPr>
          </w:p>
        </w:tc>
        <w:tc>
          <w:tcPr>
            <w:tcW w:w="1969" w:type="dxa"/>
            <w:vMerge/>
            <w:tcBorders>
              <w:left w:val="single" w:sz="12" w:space="0" w:color="auto"/>
              <w:bottom w:val="single" w:sz="12" w:space="0" w:color="auto"/>
              <w:right w:val="single" w:sz="12" w:space="0" w:color="auto"/>
            </w:tcBorders>
            <w:shd w:val="clear" w:color="auto" w:fill="BFBFBF"/>
          </w:tcPr>
          <w:p w14:paraId="2526E17D" w14:textId="77777777" w:rsidR="001B58C9" w:rsidRPr="00082F7B" w:rsidRDefault="001B58C9" w:rsidP="001B58C9">
            <w:pPr>
              <w:spacing w:line="240" w:lineRule="auto"/>
              <w:jc w:val="center"/>
              <w:rPr>
                <w:rFonts w:asciiTheme="majorHAnsi" w:hAnsiTheme="majorHAnsi" w:cstheme="minorHAnsi"/>
                <w:b/>
                <w:sz w:val="24"/>
                <w:szCs w:val="24"/>
                <w:lang w:val="sr-Latn-CS"/>
              </w:rPr>
            </w:pPr>
          </w:p>
        </w:tc>
        <w:tc>
          <w:tcPr>
            <w:tcW w:w="1873" w:type="dxa"/>
            <w:tcBorders>
              <w:top w:val="single" w:sz="12" w:space="0" w:color="auto"/>
              <w:left w:val="single" w:sz="12" w:space="0" w:color="auto"/>
              <w:bottom w:val="single" w:sz="12" w:space="0" w:color="auto"/>
              <w:right w:val="single" w:sz="2" w:space="0" w:color="auto"/>
            </w:tcBorders>
            <w:shd w:val="clear" w:color="auto" w:fill="auto"/>
          </w:tcPr>
          <w:p w14:paraId="5FA53493" w14:textId="77777777" w:rsidR="001B58C9" w:rsidRPr="00082F7B" w:rsidRDefault="001B58C9" w:rsidP="001B58C9">
            <w:pPr>
              <w:spacing w:line="240" w:lineRule="auto"/>
              <w:jc w:val="center"/>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B</w:t>
            </w:r>
          </w:p>
        </w:tc>
        <w:tc>
          <w:tcPr>
            <w:tcW w:w="1873" w:type="dxa"/>
            <w:tcBorders>
              <w:top w:val="single" w:sz="12" w:space="0" w:color="auto"/>
              <w:left w:val="single" w:sz="2" w:space="0" w:color="auto"/>
              <w:bottom w:val="single" w:sz="12" w:space="0" w:color="auto"/>
              <w:right w:val="single" w:sz="12" w:space="0" w:color="auto"/>
            </w:tcBorders>
            <w:shd w:val="clear" w:color="auto" w:fill="auto"/>
          </w:tcPr>
          <w:p w14:paraId="5FDEE622" w14:textId="77777777" w:rsidR="001B58C9" w:rsidRPr="00082F7B" w:rsidRDefault="001B58C9" w:rsidP="001B58C9">
            <w:pPr>
              <w:spacing w:line="240" w:lineRule="auto"/>
              <w:jc w:val="center"/>
              <w:rPr>
                <w:rFonts w:asciiTheme="majorHAnsi" w:hAnsiTheme="majorHAnsi" w:cstheme="minorHAnsi"/>
                <w:b/>
                <w:sz w:val="24"/>
                <w:szCs w:val="24"/>
                <w:vertAlign w:val="subscript"/>
                <w:lang w:val="sr-Latn-CS"/>
              </w:rPr>
            </w:pPr>
            <w:r w:rsidRPr="00082F7B">
              <w:rPr>
                <w:rFonts w:asciiTheme="majorHAnsi" w:hAnsiTheme="majorHAnsi" w:cstheme="minorHAnsi"/>
                <w:b/>
                <w:sz w:val="24"/>
                <w:szCs w:val="24"/>
                <w:lang w:val="sr-Latn-CS"/>
              </w:rPr>
              <w:t>C</w:t>
            </w:r>
            <w:r w:rsidRPr="00082F7B">
              <w:rPr>
                <w:rFonts w:asciiTheme="majorHAnsi" w:hAnsiTheme="majorHAnsi" w:cstheme="minorHAnsi"/>
                <w:b/>
                <w:sz w:val="24"/>
                <w:szCs w:val="24"/>
                <w:vertAlign w:val="subscript"/>
                <w:lang w:val="sr-Latn-CS"/>
              </w:rPr>
              <w:t>1</w:t>
            </w:r>
          </w:p>
        </w:tc>
        <w:tc>
          <w:tcPr>
            <w:tcW w:w="1901" w:type="dxa"/>
            <w:vMerge/>
            <w:tcBorders>
              <w:left w:val="single" w:sz="12" w:space="0" w:color="auto"/>
              <w:bottom w:val="single" w:sz="12" w:space="0" w:color="auto"/>
              <w:right w:val="single" w:sz="12" w:space="0" w:color="auto"/>
            </w:tcBorders>
            <w:shd w:val="clear" w:color="auto" w:fill="BFBFBF"/>
          </w:tcPr>
          <w:p w14:paraId="052F946D" w14:textId="77777777" w:rsidR="001B58C9" w:rsidRPr="00082F7B" w:rsidRDefault="001B58C9" w:rsidP="001B58C9">
            <w:pPr>
              <w:spacing w:line="240" w:lineRule="auto"/>
              <w:jc w:val="center"/>
              <w:rPr>
                <w:rFonts w:asciiTheme="majorHAnsi" w:hAnsiTheme="majorHAnsi" w:cstheme="minorHAnsi"/>
                <w:b/>
                <w:sz w:val="24"/>
                <w:szCs w:val="24"/>
                <w:lang w:val="sr-Latn-CS"/>
              </w:rPr>
            </w:pPr>
          </w:p>
        </w:tc>
      </w:tr>
      <w:tr w:rsidR="001B58C9" w:rsidRPr="00082F7B" w14:paraId="79B39B8D" w14:textId="77777777" w:rsidTr="001B58C9">
        <w:trPr>
          <w:jc w:val="center"/>
        </w:trPr>
        <w:tc>
          <w:tcPr>
            <w:tcW w:w="526" w:type="dxa"/>
            <w:tcBorders>
              <w:top w:val="single" w:sz="12" w:space="0" w:color="auto"/>
              <w:left w:val="single" w:sz="12" w:space="0" w:color="auto"/>
              <w:right w:val="single" w:sz="12" w:space="0" w:color="auto"/>
            </w:tcBorders>
            <w:shd w:val="clear" w:color="auto" w:fill="FFFFFF" w:themeFill="background1"/>
          </w:tcPr>
          <w:p w14:paraId="61970ED3"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1</w:t>
            </w:r>
          </w:p>
        </w:tc>
        <w:tc>
          <w:tcPr>
            <w:tcW w:w="1969" w:type="dxa"/>
            <w:tcBorders>
              <w:top w:val="single" w:sz="12" w:space="0" w:color="auto"/>
              <w:left w:val="single" w:sz="12" w:space="0" w:color="auto"/>
              <w:right w:val="single" w:sz="12" w:space="0" w:color="auto"/>
            </w:tcBorders>
          </w:tcPr>
          <w:p w14:paraId="7B209B4D"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Geološke</w:t>
            </w:r>
          </w:p>
        </w:tc>
        <w:tc>
          <w:tcPr>
            <w:tcW w:w="1873" w:type="dxa"/>
            <w:tcBorders>
              <w:top w:val="single" w:sz="12" w:space="0" w:color="auto"/>
              <w:left w:val="single" w:sz="12" w:space="0" w:color="auto"/>
              <w:right w:val="single" w:sz="2" w:space="0" w:color="auto"/>
            </w:tcBorders>
          </w:tcPr>
          <w:p w14:paraId="2CF2D355"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rPr>
              <w:t>718.982</w:t>
            </w:r>
          </w:p>
        </w:tc>
        <w:tc>
          <w:tcPr>
            <w:tcW w:w="1873" w:type="dxa"/>
            <w:tcBorders>
              <w:top w:val="single" w:sz="12" w:space="0" w:color="auto"/>
              <w:left w:val="single" w:sz="2" w:space="0" w:color="auto"/>
              <w:right w:val="single" w:sz="12" w:space="0" w:color="auto"/>
            </w:tcBorders>
          </w:tcPr>
          <w:p w14:paraId="7AA22F2E"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449.616</w:t>
            </w:r>
          </w:p>
        </w:tc>
        <w:tc>
          <w:tcPr>
            <w:tcW w:w="1901" w:type="dxa"/>
            <w:tcBorders>
              <w:top w:val="single" w:sz="12" w:space="0" w:color="auto"/>
              <w:left w:val="single" w:sz="12" w:space="0" w:color="auto"/>
              <w:right w:val="single" w:sz="12" w:space="0" w:color="auto"/>
            </w:tcBorders>
          </w:tcPr>
          <w:p w14:paraId="3AF8E69B"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1.168.598</w:t>
            </w:r>
          </w:p>
        </w:tc>
      </w:tr>
      <w:tr w:rsidR="001B58C9" w:rsidRPr="00082F7B" w14:paraId="4946AF4E" w14:textId="77777777" w:rsidTr="001B58C9">
        <w:trPr>
          <w:jc w:val="center"/>
        </w:trPr>
        <w:tc>
          <w:tcPr>
            <w:tcW w:w="526" w:type="dxa"/>
            <w:tcBorders>
              <w:left w:val="single" w:sz="12" w:space="0" w:color="auto"/>
              <w:right w:val="single" w:sz="12" w:space="0" w:color="auto"/>
            </w:tcBorders>
            <w:shd w:val="clear" w:color="auto" w:fill="FFFFFF" w:themeFill="background1"/>
          </w:tcPr>
          <w:p w14:paraId="7A6368DB"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2</w:t>
            </w:r>
          </w:p>
        </w:tc>
        <w:tc>
          <w:tcPr>
            <w:tcW w:w="1969" w:type="dxa"/>
            <w:tcBorders>
              <w:left w:val="single" w:sz="12" w:space="0" w:color="auto"/>
              <w:right w:val="single" w:sz="12" w:space="0" w:color="auto"/>
            </w:tcBorders>
          </w:tcPr>
          <w:p w14:paraId="52BA847B"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Bilansne</w:t>
            </w:r>
          </w:p>
        </w:tc>
        <w:tc>
          <w:tcPr>
            <w:tcW w:w="1873" w:type="dxa"/>
            <w:tcBorders>
              <w:left w:val="single" w:sz="12" w:space="0" w:color="auto"/>
              <w:right w:val="single" w:sz="2" w:space="0" w:color="auto"/>
            </w:tcBorders>
          </w:tcPr>
          <w:p w14:paraId="58794450"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rPr>
              <w:t>718.982</w:t>
            </w:r>
          </w:p>
        </w:tc>
        <w:tc>
          <w:tcPr>
            <w:tcW w:w="1873" w:type="dxa"/>
            <w:tcBorders>
              <w:left w:val="single" w:sz="2" w:space="0" w:color="auto"/>
              <w:right w:val="single" w:sz="12" w:space="0" w:color="auto"/>
            </w:tcBorders>
          </w:tcPr>
          <w:p w14:paraId="3F3EA4E7"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449.616</w:t>
            </w:r>
          </w:p>
        </w:tc>
        <w:tc>
          <w:tcPr>
            <w:tcW w:w="1901" w:type="dxa"/>
            <w:tcBorders>
              <w:left w:val="single" w:sz="12" w:space="0" w:color="auto"/>
              <w:right w:val="single" w:sz="12" w:space="0" w:color="auto"/>
            </w:tcBorders>
          </w:tcPr>
          <w:p w14:paraId="614904B6"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1.168.598</w:t>
            </w:r>
          </w:p>
        </w:tc>
      </w:tr>
      <w:tr w:rsidR="001B58C9" w:rsidRPr="00082F7B" w14:paraId="42CD838C" w14:textId="77777777" w:rsidTr="001B58C9">
        <w:trPr>
          <w:jc w:val="center"/>
        </w:trPr>
        <w:tc>
          <w:tcPr>
            <w:tcW w:w="526" w:type="dxa"/>
            <w:tcBorders>
              <w:left w:val="single" w:sz="12" w:space="0" w:color="auto"/>
              <w:bottom w:val="single" w:sz="12" w:space="0" w:color="auto"/>
              <w:right w:val="single" w:sz="12" w:space="0" w:color="auto"/>
            </w:tcBorders>
            <w:shd w:val="clear" w:color="auto" w:fill="FFFFFF" w:themeFill="background1"/>
          </w:tcPr>
          <w:p w14:paraId="37C02079"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3</w:t>
            </w:r>
          </w:p>
        </w:tc>
        <w:tc>
          <w:tcPr>
            <w:tcW w:w="1969" w:type="dxa"/>
            <w:tcBorders>
              <w:left w:val="single" w:sz="12" w:space="0" w:color="auto"/>
              <w:bottom w:val="single" w:sz="12" w:space="0" w:color="auto"/>
              <w:right w:val="single" w:sz="12" w:space="0" w:color="auto"/>
            </w:tcBorders>
          </w:tcPr>
          <w:p w14:paraId="60AA9354"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Eksploatacione</w:t>
            </w:r>
          </w:p>
        </w:tc>
        <w:tc>
          <w:tcPr>
            <w:tcW w:w="1873" w:type="dxa"/>
            <w:tcBorders>
              <w:left w:val="single" w:sz="12" w:space="0" w:color="auto"/>
              <w:bottom w:val="single" w:sz="12" w:space="0" w:color="auto"/>
              <w:right w:val="single" w:sz="2" w:space="0" w:color="auto"/>
            </w:tcBorders>
          </w:tcPr>
          <w:p w14:paraId="0AE2E166"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661.463</w:t>
            </w:r>
          </w:p>
        </w:tc>
        <w:tc>
          <w:tcPr>
            <w:tcW w:w="1873" w:type="dxa"/>
            <w:tcBorders>
              <w:left w:val="single" w:sz="2" w:space="0" w:color="auto"/>
              <w:bottom w:val="single" w:sz="12" w:space="0" w:color="auto"/>
              <w:right w:val="single" w:sz="12" w:space="0" w:color="auto"/>
            </w:tcBorders>
          </w:tcPr>
          <w:p w14:paraId="3CEDBE67"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413.647</w:t>
            </w:r>
          </w:p>
        </w:tc>
        <w:tc>
          <w:tcPr>
            <w:tcW w:w="1901" w:type="dxa"/>
            <w:tcBorders>
              <w:left w:val="single" w:sz="12" w:space="0" w:color="auto"/>
              <w:bottom w:val="single" w:sz="12" w:space="0" w:color="auto"/>
              <w:right w:val="single" w:sz="12" w:space="0" w:color="auto"/>
            </w:tcBorders>
          </w:tcPr>
          <w:p w14:paraId="07AE3FAD" w14:textId="77777777" w:rsidR="001B58C9" w:rsidRPr="00082F7B" w:rsidRDefault="001B58C9" w:rsidP="001B58C9">
            <w:pPr>
              <w:spacing w:line="240" w:lineRule="auto"/>
              <w:jc w:val="center"/>
              <w:rPr>
                <w:rFonts w:asciiTheme="majorHAnsi" w:hAnsiTheme="majorHAnsi" w:cstheme="minorHAnsi"/>
                <w:b/>
                <w:color w:val="000000"/>
                <w:sz w:val="24"/>
                <w:szCs w:val="24"/>
                <w:lang w:val="sr-Latn-CS"/>
              </w:rPr>
            </w:pPr>
            <w:r w:rsidRPr="00082F7B">
              <w:rPr>
                <w:rFonts w:asciiTheme="majorHAnsi" w:hAnsiTheme="majorHAnsi" w:cstheme="minorHAnsi"/>
                <w:b/>
                <w:color w:val="000000"/>
                <w:sz w:val="24"/>
                <w:szCs w:val="24"/>
                <w:lang w:val="sr-Latn-CS"/>
              </w:rPr>
              <w:t>1.075.110</w:t>
            </w:r>
          </w:p>
        </w:tc>
      </w:tr>
    </w:tbl>
    <w:p w14:paraId="613C786F" w14:textId="77777777" w:rsidR="00071D1B" w:rsidRPr="00082F7B" w:rsidRDefault="00071D1B" w:rsidP="001B58C9">
      <w:pPr>
        <w:jc w:val="both"/>
        <w:rPr>
          <w:rFonts w:asciiTheme="majorHAnsi" w:hAnsiTheme="majorHAnsi"/>
          <w:b/>
          <w:sz w:val="24"/>
          <w:szCs w:val="24"/>
          <w:lang w:val="sr-Latn-CS"/>
        </w:rPr>
      </w:pPr>
    </w:p>
    <w:p w14:paraId="67E52DB6" w14:textId="77777777" w:rsidR="001B58C9" w:rsidRPr="00082F7B" w:rsidRDefault="001B58C9" w:rsidP="001B58C9">
      <w:pPr>
        <w:jc w:val="both"/>
        <w:rPr>
          <w:rFonts w:asciiTheme="majorHAnsi" w:hAnsiTheme="majorHAnsi" w:cstheme="minorHAnsi"/>
          <w:b/>
          <w:sz w:val="24"/>
          <w:szCs w:val="24"/>
          <w:lang w:val="sr-Latn-CS"/>
        </w:rPr>
      </w:pPr>
      <w:r w:rsidRPr="00082F7B">
        <w:rPr>
          <w:rFonts w:asciiTheme="majorHAnsi" w:hAnsiTheme="majorHAnsi"/>
          <w:b/>
          <w:sz w:val="24"/>
          <w:szCs w:val="24"/>
          <w:lang w:val="sr-Latn-CS"/>
        </w:rPr>
        <w:t>Na osnovu rezultata mineraloško-petrografskih, hemijskih i fizičko-mehaničkih ispitivanja, tehničko-građevinski kamen (krečnjak) iz ležišta „Taskavac“ - Štitarica se</w:t>
      </w:r>
      <w:r w:rsidRPr="00082F7B">
        <w:rPr>
          <w:rFonts w:asciiTheme="majorHAnsi" w:hAnsiTheme="majorHAnsi"/>
          <w:b/>
          <w:sz w:val="24"/>
          <w:szCs w:val="24"/>
          <w:lang w:val="hr-HR"/>
        </w:rPr>
        <w:t xml:space="preserve"> u građevinarstvu</w:t>
      </w:r>
      <w:r w:rsidRPr="00082F7B">
        <w:rPr>
          <w:rFonts w:asciiTheme="majorHAnsi" w:hAnsiTheme="majorHAnsi"/>
          <w:b/>
          <w:sz w:val="24"/>
          <w:szCs w:val="24"/>
          <w:lang w:val="sr-Latn-CS"/>
        </w:rPr>
        <w:t xml:space="preserve"> može koristiti za:</w:t>
      </w:r>
    </w:p>
    <w:p w14:paraId="5E1794D4" w14:textId="77777777" w:rsidR="001B58C9" w:rsidRPr="00082F7B" w:rsidRDefault="001B58C9" w:rsidP="00266CEB">
      <w:pPr>
        <w:pStyle w:val="ListParagraph"/>
        <w:numPr>
          <w:ilvl w:val="0"/>
          <w:numId w:val="19"/>
        </w:numPr>
        <w:suppressAutoHyphens w:val="0"/>
        <w:spacing w:after="0" w:line="320" w:lineRule="atLeast"/>
        <w:jc w:val="both"/>
        <w:rPr>
          <w:rFonts w:asciiTheme="majorHAnsi" w:hAnsiTheme="majorHAnsi"/>
          <w:sz w:val="24"/>
          <w:szCs w:val="24"/>
        </w:rPr>
      </w:pPr>
      <w:r w:rsidRPr="00082F7B">
        <w:rPr>
          <w:rFonts w:asciiTheme="majorHAnsi" w:hAnsiTheme="majorHAnsi"/>
          <w:sz w:val="24"/>
          <w:szCs w:val="24"/>
          <w:lang w:val="hr-HR"/>
        </w:rPr>
        <w:t>proizvodnju agregata za izradu betona (SRPS B.B2.009),</w:t>
      </w:r>
    </w:p>
    <w:p w14:paraId="49B57091" w14:textId="77777777" w:rsidR="001B58C9" w:rsidRPr="00082F7B" w:rsidRDefault="001B58C9" w:rsidP="00266CEB">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izradu habajućih slojeva od asfaltnih betona po vrućem postupku za puteve sa lakim i vrlo lakim  saobraćajnim opterećenjem (SRPS U.E4.014.),</w:t>
      </w:r>
    </w:p>
    <w:p w14:paraId="50AC4590" w14:textId="77777777" w:rsidR="001B58C9" w:rsidRPr="00082F7B" w:rsidRDefault="001B58C9" w:rsidP="00266CEB">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klasične i savremene podloge za puteve (SRPS U.E9.020),</w:t>
      </w:r>
    </w:p>
    <w:p w14:paraId="7BF58BD0" w14:textId="77777777" w:rsidR="001B58C9" w:rsidRPr="00082F7B" w:rsidRDefault="001B58C9" w:rsidP="00266CEB">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donje noseće slojeve od neveznog materijala (tehničke specifikacije Javnog preduzeća “Putevi Srbije“, 2007.),</w:t>
      </w:r>
    </w:p>
    <w:p w14:paraId="160196FD" w14:textId="77777777" w:rsidR="001B58C9" w:rsidRPr="00082F7B" w:rsidRDefault="001B58C9" w:rsidP="00266CEB">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gornje i donje noseće slojeve od bitumeniziranog materijala po vrućem postupku (SRPS U.E9.021 i SRPS U.E9.028),</w:t>
      </w:r>
    </w:p>
    <w:p w14:paraId="560A1517" w14:textId="77777777" w:rsidR="001B58C9" w:rsidRPr="00082F7B" w:rsidRDefault="001B58C9" w:rsidP="00266CEB">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tucanika kategorije II za zastor željezničkih pruga (Upustvo za prijem i isporuku tucanika za zastor pruga na JŽ) i</w:t>
      </w:r>
    </w:p>
    <w:p w14:paraId="5BD80180" w14:textId="77777777" w:rsidR="001B58C9" w:rsidRPr="00082F7B" w:rsidRDefault="001B58C9" w:rsidP="001B58C9">
      <w:pPr>
        <w:ind w:left="720"/>
        <w:jc w:val="both"/>
        <w:rPr>
          <w:rFonts w:asciiTheme="majorHAnsi" w:hAnsiTheme="majorHAnsi"/>
          <w:sz w:val="24"/>
          <w:szCs w:val="24"/>
          <w:lang w:val="hr-HR"/>
        </w:rPr>
      </w:pPr>
      <w:r w:rsidRPr="00082F7B">
        <w:rPr>
          <w:rFonts w:asciiTheme="majorHAnsi" w:hAnsiTheme="majorHAnsi"/>
          <w:sz w:val="24"/>
          <w:szCs w:val="24"/>
          <w:lang w:val="hr-HR"/>
        </w:rPr>
        <w:t>proizvodnju lomljenog kamena i tesanika za gruba zidanja u niskogradnji i hidrogradnji.</w:t>
      </w:r>
    </w:p>
    <w:p w14:paraId="08BE65CB" w14:textId="77777777" w:rsidR="00D13168" w:rsidRPr="00082F7B" w:rsidRDefault="001B58C9" w:rsidP="00365C7E">
      <w:pPr>
        <w:spacing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 predmetnom Elaboratu data je tehničko-</w:t>
      </w:r>
      <w:r w:rsidR="00071D1B" w:rsidRPr="00082F7B">
        <w:rPr>
          <w:rFonts w:asciiTheme="majorHAnsi" w:hAnsiTheme="majorHAnsi" w:cstheme="minorHAnsi"/>
          <w:sz w:val="24"/>
          <w:szCs w:val="24"/>
          <w:lang w:val="sr-Latn-CS"/>
        </w:rPr>
        <w:t>ekonomska ocjen</w:t>
      </w:r>
      <w:r w:rsidRPr="00082F7B">
        <w:rPr>
          <w:rFonts w:asciiTheme="majorHAnsi" w:hAnsiTheme="majorHAnsi" w:cstheme="minorHAnsi"/>
          <w:sz w:val="24"/>
          <w:szCs w:val="24"/>
          <w:lang w:val="sr-Latn-CS"/>
        </w:rPr>
        <w:t>a</w:t>
      </w:r>
      <w:r w:rsidR="00071D1B" w:rsidRPr="00082F7B">
        <w:rPr>
          <w:rFonts w:asciiTheme="majorHAnsi" w:hAnsiTheme="majorHAnsi" w:cstheme="minorHAnsi"/>
          <w:sz w:val="24"/>
          <w:szCs w:val="24"/>
          <w:lang w:val="sr-Latn-CS"/>
        </w:rPr>
        <w:t xml:space="preserve"> </w:t>
      </w:r>
      <w:r w:rsidR="00D13168" w:rsidRPr="00082F7B">
        <w:rPr>
          <w:rFonts w:asciiTheme="majorHAnsi" w:hAnsiTheme="majorHAnsi" w:cstheme="minorHAnsi"/>
          <w:sz w:val="24"/>
          <w:szCs w:val="24"/>
          <w:lang w:val="sr-Latn-CS"/>
        </w:rPr>
        <w:t xml:space="preserve">ležišta </w:t>
      </w:r>
      <w:r w:rsidRPr="00082F7B">
        <w:rPr>
          <w:rFonts w:asciiTheme="majorHAnsi" w:hAnsiTheme="majorHAnsi" w:cstheme="minorHAnsi"/>
          <w:sz w:val="24"/>
          <w:szCs w:val="24"/>
          <w:lang w:val="sr-Latn-CS"/>
        </w:rPr>
        <w:t xml:space="preserve">kroz sagledavanje i prikaz faktora ocjene, naturalnih i vrjedonosnih pokazatelja, te na kraju kroz ekonomsko-vrijednosnu ocjenu ležišta bez uzimanja u obzir vremenskog faktora, u vidu sintetskog pokazatelja tehničko-ekonomske ocjene. </w:t>
      </w:r>
    </w:p>
    <w:p w14:paraId="0B53CB81" w14:textId="77777777" w:rsidR="00D13168" w:rsidRPr="00082F7B" w:rsidRDefault="001B58C9" w:rsidP="00365C7E">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U okviru faktora tehničko-ekonomske ocjene izvršeno je sagledavanje sedam glavnih </w:t>
      </w:r>
      <w:r w:rsidRPr="00082F7B">
        <w:rPr>
          <w:rFonts w:asciiTheme="majorHAnsi" w:hAnsiTheme="majorHAnsi" w:cstheme="minorHAnsi"/>
          <w:sz w:val="24"/>
          <w:szCs w:val="24"/>
          <w:u w:val="single"/>
          <w:lang w:val="sr-Latn-CS"/>
        </w:rPr>
        <w:t>grupa faktora</w:t>
      </w:r>
      <w:r w:rsidRPr="00082F7B">
        <w:rPr>
          <w:rFonts w:asciiTheme="majorHAnsi" w:hAnsiTheme="majorHAnsi" w:cstheme="minorHAnsi"/>
          <w:sz w:val="24"/>
          <w:szCs w:val="24"/>
          <w:lang w:val="sr-Latn-CS"/>
        </w:rPr>
        <w:t xml:space="preserve">, i to: </w:t>
      </w:r>
      <w:r w:rsidRPr="00082F7B">
        <w:rPr>
          <w:rFonts w:asciiTheme="majorHAnsi" w:hAnsiTheme="majorHAnsi" w:cstheme="minorHAnsi"/>
          <w:color w:val="000000"/>
          <w:sz w:val="24"/>
          <w:szCs w:val="24"/>
          <w:lang w:val="sr-Latn-CS"/>
        </w:rPr>
        <w:t>geološki, mineragenetski, tehničko-eksploatacioni (rudarski), tehnološki, regionalni, tržišni i društveno-ekonomski faktori ocjene</w:t>
      </w:r>
      <w:r w:rsidRPr="00082F7B">
        <w:rPr>
          <w:rFonts w:asciiTheme="majorHAnsi" w:hAnsiTheme="majorHAnsi" w:cstheme="minorHAnsi"/>
          <w:sz w:val="24"/>
          <w:szCs w:val="24"/>
          <w:lang w:val="sr-Latn-CS"/>
        </w:rPr>
        <w:t xml:space="preserve">. </w:t>
      </w:r>
    </w:p>
    <w:p w14:paraId="28B2D487" w14:textId="77777777" w:rsidR="00D13168" w:rsidRPr="00082F7B" w:rsidRDefault="00D13168" w:rsidP="00365C7E">
      <w:pPr>
        <w:spacing w:after="0" w:line="240" w:lineRule="auto"/>
        <w:jc w:val="both"/>
        <w:rPr>
          <w:rFonts w:asciiTheme="majorHAnsi" w:hAnsiTheme="majorHAnsi" w:cstheme="minorHAnsi"/>
          <w:sz w:val="24"/>
          <w:szCs w:val="24"/>
          <w:lang w:val="sr-Latn-CS"/>
        </w:rPr>
      </w:pPr>
    </w:p>
    <w:p w14:paraId="6F900F83" w14:textId="77777777" w:rsidR="00D13168" w:rsidRPr="00082F7B" w:rsidRDefault="001B58C9" w:rsidP="00365C7E">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color w:val="000000"/>
          <w:sz w:val="24"/>
          <w:szCs w:val="24"/>
          <w:lang w:val="sr-Latn-CS"/>
        </w:rPr>
        <w:lastRenderedPageBreak/>
        <w:t xml:space="preserve">U okviru </w:t>
      </w:r>
      <w:r w:rsidRPr="00082F7B">
        <w:rPr>
          <w:rFonts w:asciiTheme="majorHAnsi" w:hAnsiTheme="majorHAnsi" w:cstheme="minorHAnsi"/>
          <w:color w:val="000000"/>
          <w:sz w:val="24"/>
          <w:szCs w:val="24"/>
          <w:u w:val="single"/>
          <w:lang w:val="sr-Latn-CS"/>
        </w:rPr>
        <w:t>geoloških faktora</w:t>
      </w:r>
      <w:r w:rsidR="00D13168" w:rsidRPr="00082F7B">
        <w:rPr>
          <w:rFonts w:asciiTheme="majorHAnsi" w:hAnsiTheme="majorHAnsi" w:cstheme="minorHAnsi"/>
          <w:color w:val="000000"/>
          <w:sz w:val="24"/>
          <w:szCs w:val="24"/>
          <w:u w:val="single"/>
          <w:lang w:val="sr-Latn-CS"/>
        </w:rPr>
        <w:t xml:space="preserve"> </w:t>
      </w:r>
      <w:r w:rsidRPr="00082F7B">
        <w:rPr>
          <w:rFonts w:asciiTheme="majorHAnsi" w:hAnsiTheme="majorHAnsi" w:cstheme="minorHAnsi"/>
          <w:color w:val="000000"/>
          <w:sz w:val="24"/>
          <w:szCs w:val="24"/>
          <w:lang w:val="sr-Latn-CS"/>
        </w:rPr>
        <w:t xml:space="preserve"> autor</w:t>
      </w:r>
      <w:r w:rsidR="00D13168" w:rsidRPr="00082F7B">
        <w:rPr>
          <w:rFonts w:asciiTheme="majorHAnsi" w:hAnsiTheme="majorHAnsi" w:cstheme="minorHAnsi"/>
          <w:color w:val="000000"/>
          <w:sz w:val="24"/>
          <w:szCs w:val="24"/>
          <w:lang w:val="sr-Latn-CS"/>
        </w:rPr>
        <w:t xml:space="preserve"> Elaborata</w:t>
      </w:r>
      <w:r w:rsidRPr="00082F7B">
        <w:rPr>
          <w:rFonts w:asciiTheme="majorHAnsi" w:hAnsiTheme="majorHAnsi" w:cstheme="minorHAnsi"/>
          <w:color w:val="000000"/>
          <w:sz w:val="24"/>
          <w:szCs w:val="24"/>
          <w:lang w:val="sr-Latn-CS"/>
        </w:rPr>
        <w:t xml:space="preserve"> </w:t>
      </w:r>
      <w:r w:rsidRPr="00082F7B">
        <w:rPr>
          <w:rFonts w:asciiTheme="majorHAnsi" w:hAnsiTheme="majorHAnsi" w:cstheme="minorHAnsi"/>
          <w:color w:val="000000"/>
          <w:sz w:val="24"/>
          <w:szCs w:val="24"/>
          <w:lang w:val="sr-Cyrl-CS"/>
        </w:rPr>
        <w:t>konstat</w:t>
      </w:r>
      <w:r w:rsidRPr="00082F7B">
        <w:rPr>
          <w:rFonts w:asciiTheme="majorHAnsi" w:hAnsiTheme="majorHAnsi" w:cstheme="minorHAnsi"/>
          <w:color w:val="000000"/>
          <w:sz w:val="24"/>
          <w:szCs w:val="24"/>
          <w:lang w:val="sr-Latn-BA"/>
        </w:rPr>
        <w:t>uje:</w:t>
      </w:r>
      <w:r w:rsidRPr="00082F7B">
        <w:rPr>
          <w:rFonts w:asciiTheme="majorHAnsi" w:hAnsiTheme="majorHAnsi" w:cstheme="minorHAnsi"/>
          <w:color w:val="000000"/>
          <w:sz w:val="24"/>
          <w:szCs w:val="24"/>
          <w:lang w:val="sr-Cyrl-CS"/>
        </w:rPr>
        <w:t xml:space="preserve"> </w:t>
      </w:r>
      <w:r w:rsidRPr="00082F7B">
        <w:rPr>
          <w:rFonts w:asciiTheme="majorHAnsi" w:hAnsiTheme="majorHAnsi" w:cstheme="minorHAnsi"/>
          <w:color w:val="000000"/>
          <w:sz w:val="24"/>
          <w:szCs w:val="24"/>
          <w:lang w:val="sr-Latn-BA"/>
        </w:rPr>
        <w:t xml:space="preserve">da </w:t>
      </w:r>
      <w:r w:rsidRPr="00082F7B">
        <w:rPr>
          <w:rFonts w:asciiTheme="majorHAnsi" w:hAnsiTheme="majorHAnsi" w:cstheme="minorHAnsi"/>
          <w:sz w:val="24"/>
          <w:szCs w:val="24"/>
          <w:lang w:val="sr-Latn-CS"/>
        </w:rPr>
        <w:t xml:space="preserve">ovo ležište u genetskom smislu, </w:t>
      </w:r>
      <w:r w:rsidR="00D13168"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 xml:space="preserve">pripada ležištu sedimentnog tipa - karbonatnim sedimentima permske starosti;  da u pogledu petrografskog sastava ovo ležište pripada karbonatnom tipu, </w:t>
      </w:r>
      <w:r w:rsidR="00D13168" w:rsidRPr="00082F7B">
        <w:rPr>
          <w:rFonts w:asciiTheme="majorHAnsi" w:hAnsiTheme="majorHAnsi" w:cstheme="minorHAnsi"/>
          <w:sz w:val="24"/>
          <w:szCs w:val="24"/>
          <w:lang w:val="sr-Latn-CS"/>
        </w:rPr>
        <w:t xml:space="preserve">s </w:t>
      </w:r>
      <w:r w:rsidRPr="00082F7B">
        <w:rPr>
          <w:rFonts w:asciiTheme="majorHAnsi" w:hAnsiTheme="majorHAnsi" w:cstheme="minorHAnsi"/>
          <w:sz w:val="24"/>
          <w:szCs w:val="24"/>
          <w:lang w:val="sr-Latn-CS"/>
        </w:rPr>
        <w:t>obzirom da ga izgrađuju masivni, jedri, mjestimično izmijenjeni, biosparitski i r</w:t>
      </w:r>
      <w:r w:rsidR="00D13168" w:rsidRPr="00082F7B">
        <w:rPr>
          <w:rFonts w:asciiTheme="majorHAnsi" w:hAnsiTheme="majorHAnsi" w:cstheme="minorHAnsi"/>
          <w:sz w:val="24"/>
          <w:szCs w:val="24"/>
          <w:lang w:val="sr-Latn-CS"/>
        </w:rPr>
        <w:t>j</w:t>
      </w:r>
      <w:r w:rsidRPr="00082F7B">
        <w:rPr>
          <w:rFonts w:asciiTheme="majorHAnsi" w:hAnsiTheme="majorHAnsi" w:cstheme="minorHAnsi"/>
          <w:sz w:val="24"/>
          <w:szCs w:val="24"/>
          <w:lang w:val="sr-Latn-CS"/>
        </w:rPr>
        <w:t xml:space="preserve">eđe biomikritski krečnjaci; da su u pogledu kvaliteta mineralne sirovine, karbonatne naslage u ležištu “Taskavac“, prema iskazanim fizičko-mehaničkim svojstvima i mineraloško-petrografskom sastavu, dobrog kvaliteta, i da kao takve, mogu naći široku primjenu u tehničko-građevinske svrhe, kao i da zadovoljavaju sve zahtjeve propisane važećim domaćim standardima i propisima (JUS); i da se karbonatni sedimenti ležišta “Taskavac“ - Štitarica mogu uspješno koristiti kao punilo (agregat) za spravljanje betona i asfalta. </w:t>
      </w:r>
    </w:p>
    <w:p w14:paraId="04B017F1" w14:textId="77777777" w:rsidR="00D13168" w:rsidRPr="00082F7B" w:rsidRDefault="001B58C9" w:rsidP="00365C7E">
      <w:pPr>
        <w:spacing w:after="0" w:line="240" w:lineRule="auto"/>
        <w:jc w:val="both"/>
        <w:rPr>
          <w:rFonts w:asciiTheme="majorHAnsi" w:hAnsiTheme="majorHAnsi" w:cstheme="minorHAnsi"/>
          <w:i/>
          <w:color w:val="000000"/>
          <w:sz w:val="24"/>
          <w:szCs w:val="24"/>
          <w:lang w:val="sr-Latn-CS"/>
        </w:rPr>
      </w:pPr>
      <w:r w:rsidRPr="00082F7B">
        <w:rPr>
          <w:rFonts w:asciiTheme="majorHAnsi" w:hAnsiTheme="majorHAnsi" w:cstheme="minorHAnsi"/>
          <w:i/>
          <w:sz w:val="24"/>
          <w:szCs w:val="24"/>
          <w:lang w:val="sr-Latn-CS"/>
        </w:rPr>
        <w:t>Na kraju</w:t>
      </w:r>
      <w:r w:rsidR="00EA15A1" w:rsidRPr="00082F7B">
        <w:rPr>
          <w:rFonts w:asciiTheme="majorHAnsi" w:hAnsiTheme="majorHAnsi" w:cstheme="minorHAnsi"/>
          <w:i/>
          <w:sz w:val="24"/>
          <w:szCs w:val="24"/>
          <w:lang w:val="sr-Latn-CS"/>
        </w:rPr>
        <w:t>,</w:t>
      </w:r>
      <w:r w:rsidRPr="00082F7B">
        <w:rPr>
          <w:rFonts w:asciiTheme="majorHAnsi" w:hAnsiTheme="majorHAnsi" w:cstheme="minorHAnsi"/>
          <w:i/>
          <w:sz w:val="24"/>
          <w:szCs w:val="24"/>
          <w:lang w:val="sr-Latn-CS"/>
        </w:rPr>
        <w:t xml:space="preserve"> autor zaključuje da </w:t>
      </w:r>
      <w:r w:rsidRPr="00082F7B">
        <w:rPr>
          <w:rFonts w:asciiTheme="majorHAnsi" w:hAnsiTheme="majorHAnsi" w:cstheme="minorHAnsi"/>
          <w:i/>
          <w:color w:val="000000"/>
          <w:sz w:val="24"/>
          <w:szCs w:val="24"/>
          <w:lang w:val="sr-Latn-CS"/>
        </w:rPr>
        <w:t>geološki faktori ocjene, u prvom redu količine i kvalitet kamena, povoljno djeluju na tehničko-ekonomsku ocjenu, i da ona ne može biti uslovljena geološkim faktorima ocjene.</w:t>
      </w:r>
    </w:p>
    <w:p w14:paraId="72933C0F" w14:textId="77777777" w:rsidR="00D13168" w:rsidRPr="00082F7B" w:rsidRDefault="00D13168" w:rsidP="00365C7E">
      <w:pPr>
        <w:spacing w:after="0" w:line="240" w:lineRule="auto"/>
        <w:jc w:val="both"/>
        <w:rPr>
          <w:rFonts w:asciiTheme="majorHAnsi" w:hAnsiTheme="majorHAnsi" w:cstheme="minorHAnsi"/>
          <w:color w:val="000000"/>
          <w:sz w:val="24"/>
          <w:szCs w:val="24"/>
          <w:lang w:val="sr-Latn-CS"/>
        </w:rPr>
      </w:pPr>
    </w:p>
    <w:p w14:paraId="1573FE8B" w14:textId="77777777" w:rsidR="00D13168" w:rsidRPr="00082F7B" w:rsidRDefault="001B58C9" w:rsidP="00365C7E">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color w:val="000000"/>
          <w:sz w:val="24"/>
          <w:szCs w:val="24"/>
          <w:lang w:val="sr-Latn-BA"/>
        </w:rPr>
        <w:t xml:space="preserve"> </w:t>
      </w:r>
      <w:r w:rsidRPr="00082F7B">
        <w:rPr>
          <w:rFonts w:asciiTheme="majorHAnsi" w:hAnsiTheme="majorHAnsi" w:cstheme="minorHAnsi"/>
          <w:sz w:val="24"/>
          <w:szCs w:val="24"/>
          <w:lang w:val="sr-Latn-CS"/>
        </w:rPr>
        <w:t xml:space="preserve">U okviru </w:t>
      </w:r>
      <w:r w:rsidRPr="00082F7B">
        <w:rPr>
          <w:rFonts w:asciiTheme="majorHAnsi" w:hAnsiTheme="majorHAnsi" w:cstheme="minorHAnsi"/>
          <w:sz w:val="24"/>
          <w:szCs w:val="24"/>
          <w:u w:val="single"/>
          <w:lang w:val="sr-Latn-CS"/>
        </w:rPr>
        <w:t>mineragenetskih faktora</w:t>
      </w:r>
      <w:r w:rsidRPr="00082F7B">
        <w:rPr>
          <w:rFonts w:asciiTheme="majorHAnsi" w:hAnsiTheme="majorHAnsi" w:cstheme="minorHAnsi"/>
          <w:sz w:val="24"/>
          <w:szCs w:val="24"/>
          <w:lang w:val="sr-Latn-CS"/>
        </w:rPr>
        <w:t xml:space="preserve"> </w:t>
      </w:r>
      <w:r w:rsidR="00D13168"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 xml:space="preserve">autor </w:t>
      </w:r>
      <w:r w:rsidR="00D13168" w:rsidRPr="00082F7B">
        <w:rPr>
          <w:rFonts w:asciiTheme="majorHAnsi" w:hAnsiTheme="majorHAnsi" w:cstheme="minorHAnsi"/>
          <w:sz w:val="24"/>
          <w:szCs w:val="24"/>
          <w:lang w:val="sr-Latn-CS"/>
        </w:rPr>
        <w:t xml:space="preserve">Elaborata </w:t>
      </w:r>
      <w:r w:rsidRPr="00082F7B">
        <w:rPr>
          <w:rFonts w:asciiTheme="majorHAnsi" w:hAnsiTheme="majorHAnsi" w:cstheme="minorHAnsi"/>
          <w:sz w:val="24"/>
          <w:szCs w:val="24"/>
          <w:lang w:val="sr-Latn-CS"/>
        </w:rPr>
        <w:t>konstatuje da</w:t>
      </w:r>
      <w:r w:rsidRPr="00082F7B">
        <w:rPr>
          <w:rFonts w:asciiTheme="majorHAnsi" w:hAnsiTheme="majorHAnsi" w:cstheme="minorHAnsi"/>
          <w:sz w:val="24"/>
          <w:szCs w:val="24"/>
          <w:lang w:val="sr-Latn-BA"/>
        </w:rPr>
        <w:t xml:space="preserve"> </w:t>
      </w:r>
      <w:r w:rsidRPr="00082F7B">
        <w:rPr>
          <w:rFonts w:asciiTheme="majorHAnsi" w:hAnsiTheme="majorHAnsi" w:cstheme="minorHAnsi"/>
          <w:sz w:val="24"/>
          <w:szCs w:val="24"/>
          <w:lang w:val="sr-Latn-CS"/>
        </w:rPr>
        <w:t>su</w:t>
      </w:r>
      <w:r w:rsidRPr="00082F7B">
        <w:rPr>
          <w:rFonts w:asciiTheme="majorHAnsi" w:hAnsiTheme="majorHAnsi" w:cstheme="minorHAnsi"/>
          <w:color w:val="000000"/>
          <w:sz w:val="24"/>
          <w:szCs w:val="24"/>
          <w:lang w:val="sr-Latn-BA"/>
        </w:rPr>
        <w:t xml:space="preserve"> </w:t>
      </w:r>
      <w:r w:rsidRPr="00082F7B">
        <w:rPr>
          <w:rFonts w:asciiTheme="majorHAnsi" w:hAnsiTheme="majorHAnsi" w:cstheme="minorHAnsi"/>
          <w:sz w:val="24"/>
          <w:szCs w:val="24"/>
          <w:lang w:val="sr-Latn-CS"/>
        </w:rPr>
        <w:t xml:space="preserve">mineragenetaski faktori ocjene produktivne serije karbonatnih sedimenata ležišta “Taskavac“ - Štitarica determinisani njenim geotektonskim položajem u okviru tektonske jedinice Durmitorskog fliša, veličinom i sastavom. Ležište tehničko-građevinskog kamena “Taskavac“ - Štitarica nalazi se na granici između tektonske jedinice Durmitorskog fliša i tektonske jedinice koja je izdvojena kao “Trijaski tektonski prozor šireg područja Bjelasice“. </w:t>
      </w:r>
      <w:r w:rsidR="00D13168"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Ležište se nalazi na prostoru prve tektonske jedinice, koju na ovom terenu izgrađuju klastične i karbonatne stijene paleozojske starosti, odnosno perma (P</w:t>
      </w:r>
      <w:r w:rsidRPr="00082F7B">
        <w:rPr>
          <w:rFonts w:asciiTheme="majorHAnsi" w:hAnsiTheme="majorHAnsi" w:cstheme="minorHAnsi"/>
          <w:sz w:val="24"/>
          <w:szCs w:val="24"/>
          <w:vertAlign w:val="subscript"/>
          <w:lang w:val="sr-Latn-CS"/>
        </w:rPr>
        <w:t>1,2</w:t>
      </w:r>
      <w:r w:rsidRPr="00082F7B">
        <w:rPr>
          <w:rFonts w:asciiTheme="majorHAnsi" w:hAnsiTheme="majorHAnsi" w:cstheme="minorHAnsi"/>
          <w:sz w:val="24"/>
          <w:szCs w:val="24"/>
          <w:lang w:val="sr-Latn-CS"/>
        </w:rPr>
        <w:t xml:space="preserve">).  </w:t>
      </w:r>
    </w:p>
    <w:p w14:paraId="1DF8CDF9" w14:textId="77777777" w:rsidR="00D13168" w:rsidRPr="00082F7B" w:rsidRDefault="001B58C9" w:rsidP="00365C7E">
      <w:pPr>
        <w:spacing w:after="0" w:line="240" w:lineRule="auto"/>
        <w:jc w:val="both"/>
        <w:rPr>
          <w:rFonts w:asciiTheme="majorHAnsi" w:hAnsiTheme="majorHAnsi" w:cstheme="minorHAnsi"/>
          <w:i/>
          <w:sz w:val="24"/>
          <w:szCs w:val="24"/>
          <w:lang w:val="sr-Latn-CS"/>
        </w:rPr>
      </w:pPr>
      <w:r w:rsidRPr="00082F7B">
        <w:rPr>
          <w:rFonts w:asciiTheme="majorHAnsi" w:hAnsiTheme="majorHAnsi" w:cstheme="minorHAnsi"/>
          <w:i/>
          <w:sz w:val="24"/>
          <w:szCs w:val="24"/>
          <w:lang w:val="sr-Latn-CS"/>
        </w:rPr>
        <w:t>Na kraju</w:t>
      </w:r>
      <w:r w:rsidR="00D13168" w:rsidRPr="00082F7B">
        <w:rPr>
          <w:rFonts w:asciiTheme="majorHAnsi" w:hAnsiTheme="majorHAnsi" w:cstheme="minorHAnsi"/>
          <w:i/>
          <w:sz w:val="24"/>
          <w:szCs w:val="24"/>
          <w:lang w:val="sr-Latn-CS"/>
        </w:rPr>
        <w:t xml:space="preserve">, </w:t>
      </w:r>
      <w:r w:rsidRPr="00082F7B">
        <w:rPr>
          <w:rFonts w:asciiTheme="majorHAnsi" w:hAnsiTheme="majorHAnsi" w:cstheme="minorHAnsi"/>
          <w:i/>
          <w:sz w:val="24"/>
          <w:szCs w:val="24"/>
          <w:lang w:val="sr-Latn-CS"/>
        </w:rPr>
        <w:t xml:space="preserve"> autor </w:t>
      </w:r>
      <w:r w:rsidR="00D13168" w:rsidRPr="00082F7B">
        <w:rPr>
          <w:rFonts w:asciiTheme="majorHAnsi" w:hAnsiTheme="majorHAnsi" w:cstheme="minorHAnsi"/>
          <w:i/>
          <w:sz w:val="24"/>
          <w:szCs w:val="24"/>
          <w:lang w:val="sr-Latn-CS"/>
        </w:rPr>
        <w:t xml:space="preserve"> Elaborata </w:t>
      </w:r>
      <w:r w:rsidRPr="00082F7B">
        <w:rPr>
          <w:rFonts w:asciiTheme="majorHAnsi" w:hAnsiTheme="majorHAnsi" w:cstheme="minorHAnsi"/>
          <w:i/>
          <w:sz w:val="24"/>
          <w:szCs w:val="24"/>
          <w:lang w:val="sr-Latn-CS"/>
        </w:rPr>
        <w:t xml:space="preserve">zaključuje, na osnovu dosadašnjih ispitivanja, da sa mineragenetskog aspekta na širem području Štitarice i ležišta “Taskavac“postoje veoma povoljni uslovi za postojeću proizvodnju tehničko-građevinskog kamena. </w:t>
      </w:r>
    </w:p>
    <w:p w14:paraId="6D029B20" w14:textId="77777777" w:rsidR="00D13168" w:rsidRPr="00082F7B" w:rsidRDefault="00D13168" w:rsidP="00365C7E">
      <w:pPr>
        <w:spacing w:after="0" w:line="240" w:lineRule="auto"/>
        <w:jc w:val="both"/>
        <w:rPr>
          <w:rFonts w:asciiTheme="majorHAnsi" w:hAnsiTheme="majorHAnsi" w:cstheme="minorHAnsi"/>
          <w:sz w:val="24"/>
          <w:szCs w:val="24"/>
          <w:lang w:val="sr-Latn-CS"/>
        </w:rPr>
      </w:pPr>
    </w:p>
    <w:p w14:paraId="18061A61" w14:textId="77777777" w:rsidR="00D13168" w:rsidRPr="00082F7B" w:rsidRDefault="001B58C9" w:rsidP="00365C7E">
      <w:pPr>
        <w:spacing w:after="0" w:line="240" w:lineRule="auto"/>
        <w:jc w:val="both"/>
        <w:rPr>
          <w:rFonts w:asciiTheme="majorHAnsi" w:hAnsiTheme="majorHAnsi" w:cstheme="minorHAnsi"/>
          <w:color w:val="000000"/>
          <w:sz w:val="24"/>
          <w:szCs w:val="24"/>
          <w:lang w:val="sr-Latn-CS"/>
        </w:rPr>
      </w:pPr>
      <w:r w:rsidRPr="00082F7B">
        <w:rPr>
          <w:rFonts w:asciiTheme="majorHAnsi" w:hAnsiTheme="majorHAnsi" w:cstheme="minorHAnsi"/>
          <w:sz w:val="24"/>
          <w:szCs w:val="24"/>
          <w:lang w:val="sr-Latn-CS"/>
        </w:rPr>
        <w:t xml:space="preserve">U okviru </w:t>
      </w:r>
      <w:r w:rsidRPr="00082F7B">
        <w:rPr>
          <w:rFonts w:asciiTheme="majorHAnsi" w:hAnsiTheme="majorHAnsi" w:cstheme="minorHAnsi"/>
          <w:sz w:val="24"/>
          <w:szCs w:val="24"/>
          <w:u w:val="single"/>
          <w:lang w:val="sr-Latn-CS"/>
        </w:rPr>
        <w:t>tehničko-eksploatacionih (rudarskih) faktora</w:t>
      </w:r>
      <w:r w:rsidRPr="00082F7B">
        <w:rPr>
          <w:rFonts w:asciiTheme="majorHAnsi" w:hAnsiTheme="majorHAnsi" w:cstheme="minorHAnsi"/>
          <w:sz w:val="24"/>
          <w:szCs w:val="24"/>
          <w:lang w:val="sr-Latn-CS"/>
        </w:rPr>
        <w:t xml:space="preserve">, </w:t>
      </w:r>
      <w:r w:rsidRPr="00082F7B">
        <w:rPr>
          <w:rFonts w:asciiTheme="majorHAnsi" w:hAnsiTheme="majorHAnsi" w:cstheme="minorHAnsi"/>
          <w:i/>
          <w:sz w:val="24"/>
          <w:szCs w:val="24"/>
          <w:lang w:val="sr-Latn-CS"/>
        </w:rPr>
        <w:t xml:space="preserve">autor </w:t>
      </w:r>
      <w:r w:rsidR="00D13168" w:rsidRPr="00082F7B">
        <w:rPr>
          <w:rFonts w:asciiTheme="majorHAnsi" w:hAnsiTheme="majorHAnsi" w:cstheme="minorHAnsi"/>
          <w:i/>
          <w:sz w:val="24"/>
          <w:szCs w:val="24"/>
          <w:lang w:val="sr-Latn-CS"/>
        </w:rPr>
        <w:t xml:space="preserve">Elaborata </w:t>
      </w:r>
      <w:r w:rsidRPr="00082F7B">
        <w:rPr>
          <w:rFonts w:asciiTheme="majorHAnsi" w:hAnsiTheme="majorHAnsi" w:cstheme="minorHAnsi"/>
          <w:i/>
          <w:sz w:val="24"/>
          <w:szCs w:val="24"/>
          <w:lang w:val="sr-Latn-CS"/>
        </w:rPr>
        <w:t xml:space="preserve">konstatuje da </w:t>
      </w:r>
      <w:r w:rsidRPr="00082F7B">
        <w:rPr>
          <w:rFonts w:asciiTheme="majorHAnsi" w:hAnsiTheme="majorHAnsi" w:cstheme="minorHAnsi"/>
          <w:i/>
          <w:color w:val="000000"/>
          <w:sz w:val="24"/>
          <w:szCs w:val="24"/>
          <w:lang w:val="sr-Latn-CS"/>
        </w:rPr>
        <w:t>morfološke karakteristike i geološki faktori ovog terena, odnosno ležišta tehničko-građevinskog kamena “Taskavac“ - Štitarica, omogućavaju jednostavnu eksploataciju površinskim kopom. Tehničko-eksploatacioni faktori, koji utiču na rad i razvoj površinskog kopa ovog ležišta su izuzetno povoljni, a za to su zaslužni u prvom redu geološki uslovi u ležištu.</w:t>
      </w:r>
      <w:r w:rsidRPr="00082F7B">
        <w:rPr>
          <w:rFonts w:asciiTheme="majorHAnsi" w:hAnsiTheme="majorHAnsi" w:cstheme="minorHAnsi"/>
          <w:color w:val="000000"/>
          <w:sz w:val="24"/>
          <w:szCs w:val="24"/>
          <w:lang w:val="sr-Latn-CS"/>
        </w:rPr>
        <w:t xml:space="preserve"> Način pojavljivanja i geološka građa rudnog tijela omogućavaju, u prvom redu, izbor optimalnog sistema i metoda otkopavanja. Hidrogeološke i inženjersko-geološke karakteristike stijenskog kompleksa u širem prostoru i u ležištu su takve da omogućavaju eksploataciju bez dodatih troškova. Prema položaju u odnosu na osnovni nivo površinskog kopa, ležište tehničko-građevinskog kamena “Taskavac“-Štitarica pripada tipu ležišta sa rezervama kamena iznad osnovnog nivoa kopa, odnosno brdskom tipu površinskog kopa. </w:t>
      </w:r>
    </w:p>
    <w:p w14:paraId="3D2EC98A" w14:textId="77777777" w:rsidR="00D13168" w:rsidRPr="00082F7B" w:rsidRDefault="00D13168" w:rsidP="00365C7E">
      <w:pPr>
        <w:spacing w:after="0" w:line="240" w:lineRule="auto"/>
        <w:jc w:val="both"/>
        <w:rPr>
          <w:rFonts w:asciiTheme="majorHAnsi" w:hAnsiTheme="majorHAnsi" w:cstheme="minorHAnsi"/>
          <w:color w:val="000000"/>
          <w:sz w:val="24"/>
          <w:szCs w:val="24"/>
          <w:lang w:val="sr-Latn-CS"/>
        </w:rPr>
      </w:pPr>
    </w:p>
    <w:p w14:paraId="46F685DB" w14:textId="77777777" w:rsidR="00D13168" w:rsidRPr="00082F7B" w:rsidRDefault="001B58C9" w:rsidP="00365C7E">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U okviru </w:t>
      </w:r>
      <w:r w:rsidRPr="00082F7B">
        <w:rPr>
          <w:rFonts w:asciiTheme="majorHAnsi" w:hAnsiTheme="majorHAnsi" w:cstheme="minorHAnsi"/>
          <w:sz w:val="24"/>
          <w:szCs w:val="24"/>
          <w:u w:val="single"/>
          <w:lang w:val="sr-Latn-CS"/>
        </w:rPr>
        <w:t>tehnoloških faktora ocjene</w:t>
      </w:r>
      <w:r w:rsidRPr="00082F7B">
        <w:rPr>
          <w:rFonts w:asciiTheme="majorHAnsi" w:hAnsiTheme="majorHAnsi" w:cstheme="minorHAnsi"/>
          <w:sz w:val="24"/>
          <w:szCs w:val="24"/>
          <w:lang w:val="sr-Latn-CS"/>
        </w:rPr>
        <w:t xml:space="preserve"> autor </w:t>
      </w:r>
      <w:r w:rsidR="00D13168" w:rsidRPr="00082F7B">
        <w:rPr>
          <w:rFonts w:asciiTheme="majorHAnsi" w:hAnsiTheme="majorHAnsi" w:cstheme="minorHAnsi"/>
          <w:sz w:val="24"/>
          <w:szCs w:val="24"/>
          <w:lang w:val="sr-Latn-CS"/>
        </w:rPr>
        <w:t xml:space="preserve"> Elaborata </w:t>
      </w:r>
      <w:r w:rsidRPr="00082F7B">
        <w:rPr>
          <w:rFonts w:asciiTheme="majorHAnsi" w:hAnsiTheme="majorHAnsi" w:cstheme="minorHAnsi"/>
          <w:sz w:val="24"/>
          <w:szCs w:val="24"/>
          <w:lang w:val="sr-Latn-CS"/>
        </w:rPr>
        <w:t xml:space="preserve">konstatuje </w:t>
      </w:r>
      <w:r w:rsidRPr="00082F7B">
        <w:rPr>
          <w:rFonts w:asciiTheme="majorHAnsi" w:hAnsiTheme="majorHAnsi" w:cstheme="minorHAnsi"/>
          <w:i/>
          <w:sz w:val="24"/>
          <w:szCs w:val="24"/>
          <w:lang w:val="sr-Latn-CS"/>
        </w:rPr>
        <w:t>da tehnološki faktori ocjene imaju vrlo povoljan uticaj na krajnji rezultat tehničko-ekonomske ocjene ležišta</w:t>
      </w:r>
      <w:r w:rsidRPr="00082F7B">
        <w:rPr>
          <w:rFonts w:asciiTheme="majorHAnsi" w:hAnsiTheme="majorHAnsi" w:cstheme="minorHAnsi"/>
          <w:sz w:val="24"/>
          <w:szCs w:val="24"/>
          <w:lang w:val="sr-Latn-CS"/>
        </w:rPr>
        <w:t xml:space="preserve">, jer karbonatni sedimenti ležišta “Taskavac“ - Štitarica po svojim kvalitativnim osobinama, odnosno fizičko-mehaničkim karakteristikama, sadržaju štetnih primjesa i mineraloškom </w:t>
      </w:r>
      <w:r w:rsidRPr="00082F7B">
        <w:rPr>
          <w:rFonts w:asciiTheme="majorHAnsi" w:hAnsiTheme="majorHAnsi" w:cstheme="minorHAnsi"/>
          <w:sz w:val="24"/>
          <w:szCs w:val="24"/>
          <w:lang w:val="sr-Latn-CS"/>
        </w:rPr>
        <w:lastRenderedPageBreak/>
        <w:t xml:space="preserve">sastavu predstavljaju korisnu sirovinu koja se kao takva može koristiti za proizvodnju kamenog agregata za spravljanje betona. </w:t>
      </w:r>
    </w:p>
    <w:p w14:paraId="7A79EA69" w14:textId="77777777" w:rsidR="00D13168" w:rsidRPr="00082F7B" w:rsidRDefault="00D13168" w:rsidP="00365C7E">
      <w:pPr>
        <w:spacing w:after="0" w:line="240" w:lineRule="auto"/>
        <w:jc w:val="both"/>
        <w:rPr>
          <w:rFonts w:asciiTheme="majorHAnsi" w:hAnsiTheme="majorHAnsi" w:cstheme="minorHAnsi"/>
          <w:sz w:val="24"/>
          <w:szCs w:val="24"/>
          <w:lang w:val="sr-Latn-CS"/>
        </w:rPr>
      </w:pPr>
    </w:p>
    <w:p w14:paraId="3222C5C4" w14:textId="77777777" w:rsidR="00D13168" w:rsidRPr="00082F7B" w:rsidRDefault="001B58C9" w:rsidP="00365C7E">
      <w:pPr>
        <w:spacing w:after="0" w:line="240" w:lineRule="auto"/>
        <w:jc w:val="both"/>
        <w:rPr>
          <w:rFonts w:asciiTheme="majorHAnsi" w:hAnsiTheme="majorHAnsi" w:cstheme="minorHAnsi"/>
          <w:color w:val="000000"/>
          <w:sz w:val="24"/>
          <w:szCs w:val="24"/>
          <w:lang w:val="sr-Latn-CS"/>
        </w:rPr>
      </w:pPr>
      <w:r w:rsidRPr="00082F7B">
        <w:rPr>
          <w:rFonts w:asciiTheme="majorHAnsi" w:hAnsiTheme="majorHAnsi" w:cstheme="minorHAnsi"/>
          <w:color w:val="000000"/>
          <w:sz w:val="24"/>
          <w:szCs w:val="24"/>
          <w:lang w:val="sr-Latn-CS"/>
        </w:rPr>
        <w:t xml:space="preserve">U okviru </w:t>
      </w:r>
      <w:r w:rsidRPr="00082F7B">
        <w:rPr>
          <w:rFonts w:asciiTheme="majorHAnsi" w:hAnsiTheme="majorHAnsi" w:cstheme="minorHAnsi"/>
          <w:color w:val="000000"/>
          <w:sz w:val="24"/>
          <w:szCs w:val="24"/>
          <w:u w:val="single"/>
          <w:lang w:val="sr-Latn-CS"/>
        </w:rPr>
        <w:t>regionalnih faktora</w:t>
      </w:r>
      <w:r w:rsidRPr="00082F7B">
        <w:rPr>
          <w:rFonts w:asciiTheme="majorHAnsi" w:hAnsiTheme="majorHAnsi" w:cstheme="minorHAnsi"/>
          <w:color w:val="000000"/>
          <w:sz w:val="24"/>
          <w:szCs w:val="24"/>
          <w:lang w:val="sr-Latn-CS"/>
        </w:rPr>
        <w:t xml:space="preserve"> autor </w:t>
      </w:r>
      <w:r w:rsidR="00D13168" w:rsidRPr="00082F7B">
        <w:rPr>
          <w:rFonts w:asciiTheme="majorHAnsi" w:hAnsiTheme="majorHAnsi" w:cstheme="minorHAnsi"/>
          <w:color w:val="000000"/>
          <w:sz w:val="24"/>
          <w:szCs w:val="24"/>
          <w:lang w:val="sr-Latn-CS"/>
        </w:rPr>
        <w:t xml:space="preserve">Elaborata </w:t>
      </w:r>
      <w:r w:rsidRPr="00082F7B">
        <w:rPr>
          <w:rFonts w:asciiTheme="majorHAnsi" w:hAnsiTheme="majorHAnsi" w:cstheme="minorHAnsi"/>
          <w:color w:val="000000"/>
          <w:sz w:val="24"/>
          <w:szCs w:val="24"/>
          <w:lang w:val="sr-Latn-CS"/>
        </w:rPr>
        <w:t xml:space="preserve">konstatuje da </w:t>
      </w:r>
      <w:r w:rsidRPr="00082F7B">
        <w:rPr>
          <w:rFonts w:asciiTheme="majorHAnsi" w:hAnsiTheme="majorHAnsi" w:cstheme="minorHAnsi"/>
          <w:i/>
          <w:sz w:val="24"/>
          <w:szCs w:val="24"/>
          <w:lang w:val="sr-Latn-CS"/>
        </w:rPr>
        <w:t xml:space="preserve">ležište tehničko-građevinskog kamena “Taskavac“ - Štitarica kod Mojkovca ima veoma povoljne geografsko-ekonomske uslove, što povoljno utiče na ekonomske efekte eksploatacije. </w:t>
      </w:r>
      <w:r w:rsidRPr="00082F7B">
        <w:rPr>
          <w:rFonts w:asciiTheme="majorHAnsi" w:hAnsiTheme="majorHAnsi" w:cstheme="minorHAnsi"/>
          <w:color w:val="000000"/>
          <w:sz w:val="24"/>
          <w:szCs w:val="24"/>
          <w:lang w:val="sr-Latn-CS"/>
        </w:rPr>
        <w:t>To se</w:t>
      </w:r>
      <w:r w:rsidR="00D13168" w:rsidRPr="00082F7B">
        <w:rPr>
          <w:rFonts w:asciiTheme="majorHAnsi" w:hAnsiTheme="majorHAnsi" w:cstheme="minorHAnsi"/>
          <w:color w:val="000000"/>
          <w:sz w:val="24"/>
          <w:szCs w:val="24"/>
          <w:lang w:val="sr-Latn-CS"/>
        </w:rPr>
        <w:t xml:space="preserve">, </w:t>
      </w:r>
      <w:r w:rsidRPr="00082F7B">
        <w:rPr>
          <w:rFonts w:asciiTheme="majorHAnsi" w:hAnsiTheme="majorHAnsi" w:cstheme="minorHAnsi"/>
          <w:color w:val="000000"/>
          <w:sz w:val="24"/>
          <w:szCs w:val="24"/>
          <w:lang w:val="sr-Latn-CS"/>
        </w:rPr>
        <w:t xml:space="preserve"> prije svega</w:t>
      </w:r>
      <w:r w:rsidR="00D13168" w:rsidRPr="00082F7B">
        <w:rPr>
          <w:rFonts w:asciiTheme="majorHAnsi" w:hAnsiTheme="majorHAnsi" w:cstheme="minorHAnsi"/>
          <w:color w:val="000000"/>
          <w:sz w:val="24"/>
          <w:szCs w:val="24"/>
          <w:lang w:val="sr-Latn-CS"/>
        </w:rPr>
        <w:t xml:space="preserve">, </w:t>
      </w:r>
      <w:r w:rsidRPr="00082F7B">
        <w:rPr>
          <w:rFonts w:asciiTheme="majorHAnsi" w:hAnsiTheme="majorHAnsi" w:cstheme="minorHAnsi"/>
          <w:color w:val="000000"/>
          <w:sz w:val="24"/>
          <w:szCs w:val="24"/>
          <w:lang w:val="sr-Latn-CS"/>
        </w:rPr>
        <w:t xml:space="preserve"> odnosi na: relativno malu udaljenost ležišta od Mojkovca (6 km) i neposrednu blizinu magistralnog puta (dionica Kolašin-Mojkovac) i žel</w:t>
      </w:r>
      <w:r w:rsidR="00D13168" w:rsidRPr="00082F7B">
        <w:rPr>
          <w:rFonts w:asciiTheme="majorHAnsi" w:hAnsiTheme="majorHAnsi" w:cstheme="minorHAnsi"/>
          <w:color w:val="000000"/>
          <w:sz w:val="24"/>
          <w:szCs w:val="24"/>
          <w:lang w:val="sr-Latn-CS"/>
        </w:rPr>
        <w:t>j</w:t>
      </w:r>
      <w:r w:rsidRPr="00082F7B">
        <w:rPr>
          <w:rFonts w:asciiTheme="majorHAnsi" w:hAnsiTheme="majorHAnsi" w:cstheme="minorHAnsi"/>
          <w:color w:val="000000"/>
          <w:sz w:val="24"/>
          <w:szCs w:val="24"/>
          <w:lang w:val="sr-Latn-CS"/>
        </w:rPr>
        <w:t xml:space="preserve">ezničke pruge Beograd-Bar; relativno povoljne fizičko-geografske karakteristike rejona u kojem se nalazi samo ležište (klima, nadmorska visina i slično); povoljne mogućnosti angažovanja potrebnog broja radne snage, obezbjeđenje smještaja, ishrane i odgovarajuće zdravstvene zaštite ljudstva; povoljne uslove snabdijevanja električne energije, preko postojećih trafo stanica koje se nalaze u neposrednoj blizini ležišta (istočno i zapadno), na udaljenosti od 800 i 1.500 m; i povoljne uslove snabdijevanja vodom površinskog kopa i drobiličnog postrojenja, jer se u neposrednoj blizini ležišta nalaze brojni izvori i Štitarička rijeka, kao stalni vodotok. </w:t>
      </w:r>
    </w:p>
    <w:p w14:paraId="7B09C159" w14:textId="77777777" w:rsidR="00D13168" w:rsidRPr="00082F7B" w:rsidRDefault="00D13168" w:rsidP="00365C7E">
      <w:pPr>
        <w:spacing w:after="0" w:line="240" w:lineRule="auto"/>
        <w:jc w:val="both"/>
        <w:rPr>
          <w:rFonts w:asciiTheme="majorHAnsi" w:hAnsiTheme="majorHAnsi" w:cstheme="minorHAnsi"/>
          <w:color w:val="000000"/>
          <w:sz w:val="24"/>
          <w:szCs w:val="24"/>
          <w:lang w:val="sr-Latn-CS"/>
        </w:rPr>
      </w:pPr>
    </w:p>
    <w:p w14:paraId="404B68AC" w14:textId="77777777" w:rsidR="001B58C9" w:rsidRPr="00082F7B" w:rsidRDefault="001B58C9" w:rsidP="00365C7E">
      <w:pPr>
        <w:spacing w:after="0" w:line="240" w:lineRule="auto"/>
        <w:jc w:val="both"/>
        <w:rPr>
          <w:rFonts w:asciiTheme="majorHAnsi" w:hAnsiTheme="majorHAnsi" w:cstheme="minorHAnsi"/>
          <w:i/>
          <w:color w:val="000000"/>
          <w:sz w:val="24"/>
          <w:szCs w:val="24"/>
          <w:lang w:val="sr-Latn-CS"/>
        </w:rPr>
      </w:pPr>
      <w:r w:rsidRPr="00082F7B">
        <w:rPr>
          <w:rFonts w:asciiTheme="majorHAnsi" w:hAnsiTheme="majorHAnsi" w:cstheme="minorHAnsi"/>
          <w:sz w:val="24"/>
          <w:szCs w:val="24"/>
          <w:lang w:val="sr-Latn-CS"/>
        </w:rPr>
        <w:t xml:space="preserve">U okviru </w:t>
      </w:r>
      <w:r w:rsidRPr="00082F7B">
        <w:rPr>
          <w:rFonts w:asciiTheme="majorHAnsi" w:hAnsiTheme="majorHAnsi" w:cstheme="minorHAnsi"/>
          <w:sz w:val="24"/>
          <w:szCs w:val="24"/>
          <w:u w:val="single"/>
          <w:lang w:val="sr-Latn-CS"/>
        </w:rPr>
        <w:t>tržišnih faktora</w:t>
      </w:r>
      <w:r w:rsidRPr="00082F7B">
        <w:rPr>
          <w:rFonts w:asciiTheme="majorHAnsi" w:hAnsiTheme="majorHAnsi" w:cstheme="minorHAnsi"/>
          <w:sz w:val="24"/>
          <w:szCs w:val="24"/>
          <w:lang w:val="sr-Latn-CS"/>
        </w:rPr>
        <w:t xml:space="preserve"> autor </w:t>
      </w:r>
      <w:r w:rsidR="00D13168" w:rsidRPr="00082F7B">
        <w:rPr>
          <w:rFonts w:asciiTheme="majorHAnsi" w:hAnsiTheme="majorHAnsi" w:cstheme="minorHAnsi"/>
          <w:sz w:val="24"/>
          <w:szCs w:val="24"/>
          <w:lang w:val="sr-Latn-CS"/>
        </w:rPr>
        <w:t xml:space="preserve">Elaborat </w:t>
      </w:r>
      <w:r w:rsidRPr="00082F7B">
        <w:rPr>
          <w:rFonts w:asciiTheme="majorHAnsi" w:hAnsiTheme="majorHAnsi" w:cstheme="minorHAnsi"/>
          <w:sz w:val="24"/>
          <w:szCs w:val="24"/>
          <w:lang w:val="sr-Latn-CS"/>
        </w:rPr>
        <w:t xml:space="preserve">konstatuje da </w:t>
      </w:r>
      <w:r w:rsidRPr="00082F7B">
        <w:rPr>
          <w:rFonts w:asciiTheme="majorHAnsi" w:hAnsiTheme="majorHAnsi" w:cstheme="minorHAnsi"/>
          <w:color w:val="000000"/>
          <w:sz w:val="24"/>
          <w:szCs w:val="24"/>
          <w:lang w:val="sr-Latn-CS"/>
        </w:rPr>
        <w:t>je</w:t>
      </w:r>
      <w:r w:rsidRPr="00082F7B">
        <w:rPr>
          <w:rFonts w:asciiTheme="majorHAnsi" w:hAnsiTheme="majorHAnsi" w:cstheme="minorHAnsi"/>
          <w:i/>
          <w:color w:val="000000"/>
          <w:sz w:val="24"/>
          <w:szCs w:val="24"/>
          <w:lang w:val="sr-Latn-CS"/>
        </w:rPr>
        <w:t xml:space="preserve"> plasman sirovine iz ležišta “Taskavac“ - Štitarica obezbijeđen, jer je ista namijenjena za održavanje saobraćaja i modernizaciju putne mreže u Crnoj Gori.</w:t>
      </w:r>
    </w:p>
    <w:p w14:paraId="27FB5358" w14:textId="77777777" w:rsidR="00D13168" w:rsidRPr="00082F7B" w:rsidRDefault="00D13168" w:rsidP="00365C7E">
      <w:pPr>
        <w:spacing w:after="0" w:line="240" w:lineRule="auto"/>
        <w:jc w:val="both"/>
        <w:rPr>
          <w:rFonts w:asciiTheme="majorHAnsi" w:hAnsiTheme="majorHAnsi" w:cstheme="minorHAnsi"/>
          <w:color w:val="000000"/>
          <w:sz w:val="24"/>
          <w:szCs w:val="24"/>
          <w:lang w:val="sr-Latn-CS"/>
        </w:rPr>
      </w:pPr>
    </w:p>
    <w:p w14:paraId="6FB92E08" w14:textId="77777777" w:rsidR="00365C7E" w:rsidRPr="00082F7B" w:rsidRDefault="00D13168" w:rsidP="00365C7E">
      <w:pPr>
        <w:spacing w:after="0" w:line="240" w:lineRule="auto"/>
        <w:jc w:val="both"/>
        <w:rPr>
          <w:rFonts w:asciiTheme="majorHAnsi" w:hAnsiTheme="majorHAnsi" w:cstheme="minorHAnsi"/>
          <w:i/>
          <w:sz w:val="24"/>
          <w:szCs w:val="24"/>
          <w:lang w:val="sr-Latn-CS"/>
        </w:rPr>
      </w:pPr>
      <w:r w:rsidRPr="00082F7B">
        <w:rPr>
          <w:rFonts w:asciiTheme="majorHAnsi" w:hAnsiTheme="majorHAnsi" w:cstheme="minorHAnsi"/>
          <w:color w:val="000000"/>
          <w:sz w:val="24"/>
          <w:szCs w:val="24"/>
          <w:lang w:val="sr-Latn-CS"/>
        </w:rPr>
        <w:t>U okviru</w:t>
      </w:r>
      <w:r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u w:val="single"/>
          <w:lang w:val="sr-Latn-CS"/>
        </w:rPr>
        <w:t>društveno-ekonomskih faktora</w:t>
      </w:r>
      <w:r w:rsidRPr="00082F7B">
        <w:rPr>
          <w:rFonts w:asciiTheme="majorHAnsi" w:hAnsiTheme="majorHAnsi" w:cstheme="minorHAnsi"/>
          <w:sz w:val="24"/>
          <w:szCs w:val="24"/>
          <w:lang w:val="sr-Latn-CS"/>
        </w:rPr>
        <w:t xml:space="preserve"> ocjene autor Elaborat konstatuje da</w:t>
      </w:r>
      <w:r w:rsidRPr="00082F7B">
        <w:rPr>
          <w:rFonts w:asciiTheme="majorHAnsi" w:hAnsiTheme="majorHAnsi" w:cstheme="minorHAnsi"/>
          <w:i/>
          <w:sz w:val="24"/>
          <w:szCs w:val="24"/>
          <w:lang w:val="sr-Latn-CS"/>
        </w:rPr>
        <w:t xml:space="preserve"> mineralna sirovina,  kakva je tehničko-građevinski kamen,  ima svoj strategijski značaj u širem smislu, kao sirovina za proizvodnju građevinskih materijala. </w:t>
      </w:r>
    </w:p>
    <w:p w14:paraId="2E27EBA8" w14:textId="77777777" w:rsidR="00365C7E" w:rsidRPr="00082F7B" w:rsidRDefault="00365C7E" w:rsidP="00365C7E">
      <w:pPr>
        <w:spacing w:after="0" w:line="240" w:lineRule="auto"/>
        <w:jc w:val="both"/>
        <w:rPr>
          <w:rFonts w:asciiTheme="majorHAnsi" w:hAnsiTheme="majorHAnsi" w:cstheme="minorHAnsi"/>
          <w:sz w:val="24"/>
          <w:szCs w:val="24"/>
          <w:lang w:val="sr-Latn-CS"/>
        </w:rPr>
      </w:pPr>
    </w:p>
    <w:p w14:paraId="4C886485" w14:textId="77777777" w:rsidR="00D13168" w:rsidRPr="00082F7B" w:rsidRDefault="00D13168" w:rsidP="00365C7E">
      <w:pPr>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Konkretan uticaj </w:t>
      </w:r>
      <w:r w:rsidR="00365C7E" w:rsidRPr="00082F7B">
        <w:rPr>
          <w:rFonts w:asciiTheme="majorHAnsi" w:hAnsiTheme="majorHAnsi" w:cstheme="minorHAnsi"/>
          <w:sz w:val="24"/>
          <w:szCs w:val="24"/>
          <w:lang w:val="sr-Latn-CS"/>
        </w:rPr>
        <w:t>pojedinih faktora ocjene autor Elaborata i</w:t>
      </w:r>
      <w:r w:rsidRPr="00082F7B">
        <w:rPr>
          <w:rFonts w:asciiTheme="majorHAnsi" w:hAnsiTheme="majorHAnsi" w:cstheme="minorHAnsi"/>
          <w:sz w:val="24"/>
          <w:szCs w:val="24"/>
          <w:lang w:val="sr-Latn-CS"/>
        </w:rPr>
        <w:t>zražava kroz pregled naturalnih (bilansne rezerve tehničko-građevinskog kamena, eksploatacione rezerve tehničko-građevinskog kamena, kapacitet površinskog kopa i vijek eksploatacije) i vrijednosnih pokazatelja ocjene</w:t>
      </w:r>
      <w:r w:rsidR="00365C7E" w:rsidRPr="00082F7B">
        <w:rPr>
          <w:rFonts w:asciiTheme="majorHAnsi" w:hAnsiTheme="majorHAnsi" w:cstheme="minorHAnsi"/>
          <w:sz w:val="24"/>
          <w:szCs w:val="24"/>
          <w:lang w:val="sr-Latn-CS"/>
        </w:rPr>
        <w:t xml:space="preserve">, </w:t>
      </w:r>
      <w:r w:rsidRPr="00082F7B">
        <w:rPr>
          <w:rFonts w:asciiTheme="majorHAnsi" w:hAnsiTheme="majorHAnsi" w:cstheme="minorHAnsi"/>
          <w:sz w:val="24"/>
          <w:szCs w:val="24"/>
          <w:lang w:val="sr-Latn-CS"/>
        </w:rPr>
        <w:t>te na kraju, u vidu sinte</w:t>
      </w:r>
      <w:r w:rsidR="00365C7E" w:rsidRPr="00082F7B">
        <w:rPr>
          <w:rFonts w:asciiTheme="majorHAnsi" w:hAnsiTheme="majorHAnsi" w:cstheme="minorHAnsi"/>
          <w:sz w:val="24"/>
          <w:szCs w:val="24"/>
          <w:lang w:val="sr-Latn-CS"/>
        </w:rPr>
        <w:t xml:space="preserve">tskog pokazatelja ocjene i </w:t>
      </w:r>
      <w:r w:rsidRPr="00082F7B">
        <w:rPr>
          <w:rFonts w:asciiTheme="majorHAnsi" w:hAnsiTheme="majorHAnsi" w:cstheme="minorHAnsi"/>
          <w:sz w:val="24"/>
          <w:szCs w:val="24"/>
          <w:lang w:val="sr-Latn-CS"/>
        </w:rPr>
        <w:t>daje ekonomsko-vrjednosnu ocjenu ležišta bez uzimanja u obzir vremenskog faktora, pri čemu</w:t>
      </w:r>
      <w:r w:rsidRPr="00082F7B">
        <w:rPr>
          <w:rFonts w:asciiTheme="majorHAnsi" w:hAnsiTheme="majorHAnsi" w:cstheme="minorHAnsi"/>
          <w:i/>
          <w:sz w:val="24"/>
          <w:szCs w:val="24"/>
          <w:lang w:val="sr-Latn-CS"/>
        </w:rPr>
        <w:t xml:space="preserve"> dolazi do zaključka da uslovna vrijednost rezervi u ležištu ima pozitivan predznak</w:t>
      </w:r>
      <w:r w:rsidR="00365C7E" w:rsidRPr="00082F7B">
        <w:rPr>
          <w:rFonts w:asciiTheme="majorHAnsi" w:hAnsiTheme="majorHAnsi" w:cstheme="minorHAnsi"/>
          <w:i/>
          <w:sz w:val="24"/>
          <w:szCs w:val="24"/>
          <w:lang w:val="sr-Latn-CS"/>
        </w:rPr>
        <w:t xml:space="preserve">. </w:t>
      </w:r>
      <w:r w:rsidRPr="00082F7B">
        <w:rPr>
          <w:rFonts w:asciiTheme="majorHAnsi" w:hAnsiTheme="majorHAnsi" w:cstheme="minorHAnsi"/>
          <w:i/>
          <w:sz w:val="24"/>
          <w:szCs w:val="24"/>
          <w:lang w:val="sr-Latn-CS"/>
        </w:rPr>
        <w:t>Dakle, ekonomska ocjena je pokazala da rezerve tehničko-građevinskog kamena u ležištu „Taskavac“ - Štitarica pripadaju klasi bilansnih rezervi</w:t>
      </w:r>
    </w:p>
    <w:p w14:paraId="27853003" w14:textId="77777777" w:rsidR="00F653C8" w:rsidRPr="00082F7B" w:rsidRDefault="00F653C8" w:rsidP="00365C7E">
      <w:pPr>
        <w:pStyle w:val="ListParagraph"/>
        <w:spacing w:after="0" w:line="240" w:lineRule="auto"/>
        <w:ind w:left="0"/>
        <w:jc w:val="both"/>
        <w:rPr>
          <w:rFonts w:asciiTheme="majorHAnsi" w:hAnsiTheme="majorHAnsi" w:cstheme="minorHAnsi"/>
          <w:sz w:val="24"/>
          <w:szCs w:val="24"/>
          <w:lang w:val="sr-Latn-CS"/>
        </w:rPr>
      </w:pPr>
    </w:p>
    <w:p w14:paraId="3B8FB9EF" w14:textId="30A384D6" w:rsidR="00F653C8" w:rsidRPr="00082F7B" w:rsidRDefault="00F653C8" w:rsidP="00F76911">
      <w:pPr>
        <w:pStyle w:val="Heading1"/>
        <w:rPr>
          <w:rFonts w:asciiTheme="majorHAnsi" w:hAnsiTheme="majorHAnsi"/>
          <w:szCs w:val="28"/>
          <w:lang w:val="sr-Latn-CS"/>
        </w:rPr>
      </w:pPr>
      <w:bookmarkStart w:id="29" w:name="_Toc402262933"/>
      <w:bookmarkStart w:id="30" w:name="_Toc459633527"/>
      <w:r w:rsidRPr="00082F7B">
        <w:rPr>
          <w:rFonts w:asciiTheme="majorHAnsi" w:hAnsiTheme="majorHAnsi"/>
          <w:szCs w:val="28"/>
          <w:lang w:val="sr-Latn-CS"/>
        </w:rPr>
        <w:t>Rok trajanja koncesije</w:t>
      </w:r>
      <w:bookmarkEnd w:id="29"/>
      <w:bookmarkEnd w:id="30"/>
    </w:p>
    <w:p w14:paraId="13DCCD4F" w14:textId="77777777" w:rsidR="00F653C8" w:rsidRPr="00082F7B" w:rsidRDefault="00F653C8" w:rsidP="00365C7E">
      <w:pPr>
        <w:shd w:val="clear" w:color="auto" w:fill="FFFFFF" w:themeFill="background1"/>
        <w:spacing w:after="0" w:line="240" w:lineRule="auto"/>
        <w:rPr>
          <w:rFonts w:asciiTheme="majorHAnsi" w:hAnsiTheme="majorHAnsi"/>
          <w:sz w:val="24"/>
          <w:szCs w:val="24"/>
          <w:lang w:val="sr-Latn-CS"/>
        </w:rPr>
      </w:pPr>
    </w:p>
    <w:p w14:paraId="168E8F56" w14:textId="77777777" w:rsidR="00920540" w:rsidRPr="00082F7B" w:rsidRDefault="00920540" w:rsidP="00920540">
      <w:pPr>
        <w:shd w:val="clear" w:color="auto" w:fill="FFFFFF" w:themeFill="background1"/>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Rok trajanja eksploatacije mineralne sirovine (vijek eksploatacije) zavisi od utvrđenih rezervi, godišnjeg kapaciteta eksploatacije i od zahtjeva tržišta.</w:t>
      </w:r>
    </w:p>
    <w:p w14:paraId="761D9D92" w14:textId="77777777" w:rsidR="00920540" w:rsidRPr="00082F7B" w:rsidRDefault="00920540" w:rsidP="00920540">
      <w:pPr>
        <w:shd w:val="clear" w:color="auto" w:fill="FFFFFF" w:themeFill="background1"/>
        <w:spacing w:after="0" w:line="240" w:lineRule="auto"/>
        <w:jc w:val="both"/>
        <w:rPr>
          <w:rFonts w:asciiTheme="majorHAnsi" w:hAnsiTheme="majorHAnsi" w:cstheme="minorHAnsi"/>
          <w:sz w:val="24"/>
          <w:szCs w:val="24"/>
          <w:lang w:val="sr-Latn-CS"/>
        </w:rPr>
      </w:pPr>
    </w:p>
    <w:p w14:paraId="6932E73E" w14:textId="4A0D10AF" w:rsidR="00920540" w:rsidRPr="00082F7B" w:rsidRDefault="00920540" w:rsidP="00920540">
      <w:pPr>
        <w:shd w:val="clear" w:color="auto" w:fill="FFFFFF" w:themeFill="background1"/>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Ovim Koncesionim aktom daje se minimalni rok koncesije  za eksploataciju tehničko-građevinskog kamena (krečnjaka) iz ležišta „Štitarica-Taskavac“od 21 godine, </w:t>
      </w:r>
      <w:r w:rsidRPr="00082F7B">
        <w:rPr>
          <w:rFonts w:asciiTheme="majorHAnsi" w:eastAsia="Times New Roman" w:hAnsiTheme="majorHAnsi" w:cstheme="minorHAnsi"/>
          <w:sz w:val="24"/>
          <w:szCs w:val="24"/>
          <w:lang w:val="sr-Latn-CS"/>
        </w:rPr>
        <w:t>od čega:</w:t>
      </w:r>
      <w:r w:rsidRPr="00082F7B">
        <w:rPr>
          <w:rFonts w:eastAsia="Times New Roman" w:cstheme="minorHAnsi"/>
          <w:sz w:val="24"/>
          <w:szCs w:val="24"/>
          <w:lang w:val="sr-Latn-CS"/>
        </w:rPr>
        <w:t xml:space="preserve"> </w:t>
      </w:r>
    </w:p>
    <w:p w14:paraId="60DE2371" w14:textId="77777777" w:rsidR="00920540" w:rsidRPr="00082F7B" w:rsidRDefault="00920540" w:rsidP="00920540">
      <w:pPr>
        <w:shd w:val="clear" w:color="auto" w:fill="FFFFFF" w:themeFill="background1"/>
        <w:spacing w:after="0" w:line="240" w:lineRule="auto"/>
        <w:jc w:val="both"/>
        <w:rPr>
          <w:rFonts w:eastAsia="Times New Roman" w:cstheme="minorHAnsi"/>
          <w:sz w:val="24"/>
          <w:szCs w:val="24"/>
          <w:lang w:val="sr-Latn-CS"/>
        </w:rPr>
      </w:pPr>
    </w:p>
    <w:p w14:paraId="450291CC" w14:textId="77777777" w:rsidR="00920540" w:rsidRPr="00082F7B" w:rsidRDefault="00920540" w:rsidP="00920540">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lastRenderedPageBreak/>
        <w:t>jedna godina za izradu geološke i rudarske  tehničke dokumentacije i pripremne radove; i</w:t>
      </w:r>
    </w:p>
    <w:p w14:paraId="0EA02098" w14:textId="77777777" w:rsidR="00920540" w:rsidRPr="00082F7B" w:rsidRDefault="00920540" w:rsidP="00920540">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t xml:space="preserve"> 20 (dvadeset)  godina za eksploataciju mineralne sirovine.</w:t>
      </w:r>
    </w:p>
    <w:p w14:paraId="300F26C2" w14:textId="77777777" w:rsidR="00920540" w:rsidRPr="00082F7B" w:rsidRDefault="00920540" w:rsidP="00920540">
      <w:pPr>
        <w:shd w:val="clear" w:color="auto" w:fill="FFFFFF" w:themeFill="background1"/>
        <w:spacing w:after="0" w:line="240" w:lineRule="auto"/>
        <w:jc w:val="both"/>
        <w:rPr>
          <w:rFonts w:asciiTheme="majorHAnsi" w:hAnsiTheme="majorHAnsi" w:cstheme="minorHAnsi"/>
          <w:sz w:val="24"/>
          <w:szCs w:val="24"/>
          <w:lang w:val="sr-Latn-CS"/>
        </w:rPr>
      </w:pPr>
    </w:p>
    <w:p w14:paraId="504EBB84" w14:textId="77777777" w:rsidR="00920540" w:rsidRPr="00082F7B" w:rsidRDefault="00920540" w:rsidP="00920540">
      <w:pPr>
        <w:shd w:val="clear" w:color="auto" w:fill="FFFFFF" w:themeFill="background1"/>
        <w:spacing w:after="0" w:line="240" w:lineRule="auto"/>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Minimalna godišnja proizvodnja iznosi od 14.000 m</w:t>
      </w:r>
      <w:r w:rsidRPr="00082F7B">
        <w:rPr>
          <w:rFonts w:asciiTheme="majorHAnsi" w:hAnsiTheme="majorHAnsi" w:cstheme="minorHAnsi"/>
          <w:sz w:val="24"/>
          <w:szCs w:val="24"/>
          <w:vertAlign w:val="superscript"/>
          <w:lang w:val="sr-Latn-CS"/>
        </w:rPr>
        <w:t xml:space="preserve">3 </w:t>
      </w:r>
      <w:r w:rsidRPr="00082F7B">
        <w:rPr>
          <w:rFonts w:asciiTheme="majorHAnsi" w:hAnsiTheme="majorHAnsi" w:cstheme="minorHAnsi"/>
          <w:sz w:val="24"/>
          <w:szCs w:val="24"/>
          <w:lang w:val="sr-Latn-CS"/>
        </w:rPr>
        <w:t xml:space="preserve"> č.s.m. </w:t>
      </w:r>
    </w:p>
    <w:p w14:paraId="777C8506"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lang w:val="sr-Latn-CS"/>
        </w:rPr>
      </w:pPr>
    </w:p>
    <w:p w14:paraId="7F0841B8"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rPr>
        <w:t>U</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zavisnosti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od</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potrebe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investitora</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isti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mo</w:t>
      </w:r>
      <w:r w:rsidRPr="00082F7B">
        <w:rPr>
          <w:rFonts w:asciiTheme="majorHAnsi" w:eastAsia="Times New Roman" w:hAnsiTheme="majorHAnsi" w:cstheme="minorHAnsi"/>
          <w:sz w:val="24"/>
          <w:szCs w:val="24"/>
          <w:lang w:val="sr-Latn-CS"/>
        </w:rPr>
        <w:t>ž</w:t>
      </w:r>
      <w:r w:rsidRPr="00082F7B">
        <w:rPr>
          <w:rFonts w:asciiTheme="majorHAnsi" w:eastAsia="Times New Roman" w:hAnsiTheme="majorHAnsi" w:cstheme="minorHAnsi"/>
          <w:sz w:val="24"/>
          <w:szCs w:val="24"/>
        </w:rPr>
        <w:t>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ponuditi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rok</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eksploatacije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koji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je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du</w:t>
      </w:r>
      <w:r w:rsidRPr="00082F7B">
        <w:rPr>
          <w:rFonts w:asciiTheme="majorHAnsi" w:eastAsia="Times New Roman" w:hAnsiTheme="majorHAnsi" w:cstheme="minorHAnsi"/>
          <w:sz w:val="24"/>
          <w:szCs w:val="24"/>
          <w:lang w:val="sr-Latn-CS"/>
        </w:rPr>
        <w:t>ž</w:t>
      </w:r>
      <w:r w:rsidRPr="00082F7B">
        <w:rPr>
          <w:rFonts w:asciiTheme="majorHAnsi" w:eastAsia="Times New Roman" w:hAnsiTheme="majorHAnsi" w:cstheme="minorHAnsi"/>
          <w:sz w:val="24"/>
          <w:szCs w:val="24"/>
        </w:rPr>
        <w:t>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od</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roka</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utvr</w:t>
      </w:r>
      <w:r w:rsidRPr="00082F7B">
        <w:rPr>
          <w:rFonts w:asciiTheme="majorHAnsi" w:eastAsia="Times New Roman" w:hAnsiTheme="majorHAnsi" w:cstheme="minorHAnsi"/>
          <w:sz w:val="24"/>
          <w:szCs w:val="24"/>
          <w:lang w:val="sr-Latn-CS"/>
        </w:rPr>
        <w:t>đ</w:t>
      </w:r>
      <w:r w:rsidRPr="00082F7B">
        <w:rPr>
          <w:rFonts w:asciiTheme="majorHAnsi" w:eastAsia="Times New Roman" w:hAnsiTheme="majorHAnsi" w:cstheme="minorHAnsi"/>
          <w:sz w:val="24"/>
          <w:szCs w:val="24"/>
        </w:rPr>
        <w:t>enog</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Koncesionim</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aktom</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pod</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uslovom</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da</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ukupan</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koncesioni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period</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ne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prelazi</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zakonom</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definisan</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rok</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trajanja</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koncesije</w:t>
      </w:r>
      <w:r w:rsidRPr="00082F7B">
        <w:rPr>
          <w:rFonts w:asciiTheme="majorHAnsi" w:eastAsia="Times New Roman" w:hAnsiTheme="majorHAnsi" w:cstheme="minorHAnsi"/>
          <w:sz w:val="24"/>
          <w:szCs w:val="24"/>
          <w:lang w:val="sr-Latn-CS"/>
        </w:rPr>
        <w:t xml:space="preserve"> </w:t>
      </w:r>
      <w:r w:rsidRPr="00082F7B">
        <w:rPr>
          <w:rFonts w:asciiTheme="majorHAnsi" w:eastAsia="Times New Roman" w:hAnsiTheme="majorHAnsi" w:cstheme="minorHAnsi"/>
          <w:sz w:val="24"/>
          <w:szCs w:val="24"/>
        </w:rPr>
        <w:t>od</w:t>
      </w:r>
      <w:r w:rsidRPr="00082F7B">
        <w:rPr>
          <w:rFonts w:asciiTheme="majorHAnsi" w:eastAsia="Times New Roman" w:hAnsiTheme="majorHAnsi" w:cstheme="minorHAnsi"/>
          <w:sz w:val="24"/>
          <w:szCs w:val="24"/>
          <w:lang w:val="sr-Latn-CS"/>
        </w:rPr>
        <w:t xml:space="preserve"> 30 </w:t>
      </w:r>
      <w:r w:rsidRPr="00082F7B">
        <w:rPr>
          <w:rFonts w:asciiTheme="majorHAnsi" w:eastAsia="Times New Roman" w:hAnsiTheme="majorHAnsi" w:cstheme="minorHAnsi"/>
          <w:sz w:val="24"/>
          <w:szCs w:val="24"/>
        </w:rPr>
        <w:t>godina</w:t>
      </w:r>
      <w:r w:rsidRPr="00082F7B">
        <w:rPr>
          <w:rFonts w:asciiTheme="majorHAnsi" w:eastAsia="Times New Roman" w:hAnsiTheme="majorHAnsi" w:cstheme="minorHAnsi"/>
          <w:sz w:val="24"/>
          <w:szCs w:val="24"/>
          <w:lang w:val="sr-Latn-CS"/>
        </w:rPr>
        <w:t>.</w:t>
      </w:r>
    </w:p>
    <w:p w14:paraId="7ACE2A80"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lang w:val="sr-Latn-CS"/>
        </w:rPr>
      </w:pPr>
    </w:p>
    <w:p w14:paraId="524157AD"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t>Rok trajanja faze izrade geološke i rudarske  tehničke dokumentacije i pripremnih radova se ne može mijenjati.</w:t>
      </w:r>
    </w:p>
    <w:p w14:paraId="56420B7A" w14:textId="77777777" w:rsidR="00F653C8" w:rsidRPr="00082F7B" w:rsidRDefault="00F653C8" w:rsidP="00365C7E">
      <w:pPr>
        <w:spacing w:after="0" w:line="240" w:lineRule="auto"/>
        <w:jc w:val="both"/>
        <w:rPr>
          <w:rFonts w:asciiTheme="majorHAnsi" w:eastAsia="Times New Roman" w:hAnsiTheme="majorHAnsi" w:cstheme="minorHAnsi"/>
          <w:sz w:val="24"/>
          <w:szCs w:val="24"/>
        </w:rPr>
      </w:pPr>
    </w:p>
    <w:p w14:paraId="3EBF1E9D" w14:textId="0C92882C" w:rsidR="00F653C8" w:rsidRPr="00082F7B" w:rsidRDefault="00F653C8" w:rsidP="00F76911">
      <w:pPr>
        <w:pStyle w:val="Heading1"/>
        <w:rPr>
          <w:rFonts w:asciiTheme="majorHAnsi" w:hAnsiTheme="majorHAnsi"/>
          <w:szCs w:val="28"/>
        </w:rPr>
      </w:pPr>
      <w:bookmarkStart w:id="31" w:name="_Toc402262934"/>
      <w:bookmarkStart w:id="32" w:name="_Toc459633528"/>
      <w:r w:rsidRPr="00082F7B">
        <w:rPr>
          <w:rFonts w:asciiTheme="majorHAnsi" w:hAnsiTheme="majorHAnsi"/>
          <w:szCs w:val="28"/>
        </w:rPr>
        <w:t>Osnovni parametri za ocjenu ekonomske opravdanosti investicije</w:t>
      </w:r>
      <w:bookmarkEnd w:id="31"/>
      <w:bookmarkEnd w:id="32"/>
    </w:p>
    <w:p w14:paraId="450637F7" w14:textId="77777777" w:rsidR="00F653C8" w:rsidRPr="00082F7B" w:rsidRDefault="00F653C8" w:rsidP="00365C7E">
      <w:pPr>
        <w:spacing w:after="0" w:line="240" w:lineRule="auto"/>
        <w:rPr>
          <w:rFonts w:asciiTheme="majorHAnsi" w:hAnsiTheme="majorHAnsi"/>
          <w:sz w:val="24"/>
          <w:szCs w:val="24"/>
        </w:rPr>
      </w:pPr>
    </w:p>
    <w:p w14:paraId="1A9DCAC9" w14:textId="05DAEE8A" w:rsidR="00F653C8" w:rsidRPr="00082F7B" w:rsidRDefault="00F653C8" w:rsidP="00365C7E">
      <w:pPr>
        <w:spacing w:after="0" w:line="240" w:lineRule="auto"/>
        <w:jc w:val="both"/>
        <w:rPr>
          <w:rFonts w:asciiTheme="majorHAnsi" w:eastAsia="Calibri" w:hAnsiTheme="majorHAnsi" w:cstheme="minorHAnsi"/>
          <w:sz w:val="24"/>
          <w:szCs w:val="24"/>
        </w:rPr>
      </w:pPr>
      <w:r w:rsidRPr="00082F7B">
        <w:rPr>
          <w:rFonts w:asciiTheme="majorHAnsi" w:eastAsia="Calibri" w:hAnsiTheme="majorHAnsi" w:cstheme="minorHAnsi"/>
          <w:sz w:val="24"/>
          <w:szCs w:val="24"/>
        </w:rPr>
        <w:t>U ovom poglavlju daju se osnovni parametri koji treba da posluže ponuđačima, odnosno potencijalnim investitorima pri obradi proizvod</w:t>
      </w:r>
      <w:r w:rsidR="009F02D2" w:rsidRPr="00082F7B">
        <w:rPr>
          <w:rFonts w:asciiTheme="majorHAnsi" w:eastAsia="Calibri" w:hAnsiTheme="majorHAnsi" w:cstheme="minorHAnsi"/>
          <w:sz w:val="24"/>
          <w:szCs w:val="24"/>
        </w:rPr>
        <w:t>nog i ekonomskog aspekta</w:t>
      </w:r>
      <w:r w:rsidRPr="00082F7B">
        <w:rPr>
          <w:rFonts w:asciiTheme="majorHAnsi" w:eastAsia="Calibri" w:hAnsiTheme="majorHAnsi" w:cstheme="minorHAnsi"/>
          <w:sz w:val="24"/>
          <w:szCs w:val="24"/>
        </w:rPr>
        <w:t xml:space="preserve"> ponude i tehno-ekonomske ocjene opravdanosti ove investicije.</w:t>
      </w:r>
    </w:p>
    <w:p w14:paraId="32794282" w14:textId="77777777" w:rsidR="00F653C8" w:rsidRPr="00082F7B" w:rsidRDefault="00F653C8" w:rsidP="00365C7E">
      <w:pPr>
        <w:spacing w:after="0" w:line="240" w:lineRule="auto"/>
        <w:jc w:val="both"/>
        <w:rPr>
          <w:rFonts w:asciiTheme="majorHAnsi" w:eastAsia="Calibri" w:hAnsiTheme="majorHAnsi" w:cstheme="minorHAnsi"/>
          <w:sz w:val="24"/>
          <w:szCs w:val="24"/>
        </w:rPr>
      </w:pPr>
    </w:p>
    <w:p w14:paraId="7686D6B4" w14:textId="77777777" w:rsidR="00F76911" w:rsidRPr="00082F7B" w:rsidRDefault="00F76911" w:rsidP="00F76911">
      <w:pPr>
        <w:pStyle w:val="Heading2"/>
        <w:keepLines/>
        <w:tabs>
          <w:tab w:val="left" w:pos="1080"/>
        </w:tabs>
        <w:suppressAutoHyphens w:val="0"/>
        <w:spacing w:before="0" w:after="200"/>
        <w:rPr>
          <w:rFonts w:asciiTheme="majorHAnsi" w:eastAsia="Times New Roman" w:hAnsiTheme="majorHAnsi"/>
          <w:szCs w:val="24"/>
        </w:rPr>
      </w:pPr>
      <w:bookmarkStart w:id="33" w:name="_Toc401959413"/>
      <w:bookmarkStart w:id="34" w:name="_Toc401959506"/>
      <w:bookmarkStart w:id="35" w:name="_Toc435529006"/>
      <w:bookmarkStart w:id="36" w:name="_Toc436124875"/>
      <w:bookmarkStart w:id="37" w:name="_Toc459633529"/>
      <w:r w:rsidRPr="00082F7B">
        <w:rPr>
          <w:rFonts w:asciiTheme="majorHAnsi" w:hAnsiTheme="majorHAnsi"/>
          <w:szCs w:val="24"/>
        </w:rPr>
        <w:t>Lokacija</w:t>
      </w:r>
      <w:bookmarkEnd w:id="33"/>
      <w:bookmarkEnd w:id="34"/>
      <w:bookmarkEnd w:id="35"/>
      <w:bookmarkEnd w:id="36"/>
      <w:bookmarkEnd w:id="37"/>
      <w:r w:rsidRPr="00082F7B">
        <w:rPr>
          <w:rFonts w:asciiTheme="majorHAnsi" w:hAnsiTheme="majorHAnsi"/>
          <w:szCs w:val="24"/>
        </w:rPr>
        <w:t xml:space="preserve"> </w:t>
      </w:r>
    </w:p>
    <w:p w14:paraId="5F0A6A90" w14:textId="3AFDE552" w:rsidR="00F76911" w:rsidRPr="00082F7B" w:rsidRDefault="00F76911" w:rsidP="00F76911">
      <w:pPr>
        <w:spacing w:after="0" w:line="240" w:lineRule="auto"/>
        <w:jc w:val="both"/>
        <w:rPr>
          <w:rFonts w:asciiTheme="majorHAnsi" w:hAnsiTheme="majorHAnsi"/>
          <w:sz w:val="24"/>
          <w:szCs w:val="24"/>
          <w:lang w:val="sr-Latn-CS"/>
        </w:rPr>
      </w:pPr>
      <w:r w:rsidRPr="00082F7B">
        <w:rPr>
          <w:rFonts w:asciiTheme="majorHAnsi" w:hAnsiTheme="majorHAnsi"/>
          <w:sz w:val="24"/>
          <w:szCs w:val="24"/>
          <w:lang w:val="sr-Latn-CS"/>
        </w:rPr>
        <w:t>Ležište tehničko-građevinskog kamena (krečnjaka) ”Štitarica - Taskavac“</w:t>
      </w:r>
      <w:r w:rsidRPr="00082F7B">
        <w:rPr>
          <w:rFonts w:asciiTheme="majorHAnsi" w:hAnsiTheme="majorHAnsi" w:cstheme="minorHAnsi"/>
          <w:sz w:val="24"/>
          <w:szCs w:val="24"/>
          <w:lang w:val="sr-Latn-CS"/>
        </w:rPr>
        <w:t xml:space="preserve">, </w:t>
      </w:r>
      <w:r w:rsidRPr="00082F7B">
        <w:rPr>
          <w:rFonts w:asciiTheme="majorHAnsi" w:hAnsiTheme="majorHAnsi"/>
          <w:sz w:val="24"/>
          <w:szCs w:val="24"/>
          <w:lang w:val="sr-Latn-CS"/>
        </w:rPr>
        <w:t xml:space="preserve"> u geografskom smislu</w:t>
      </w:r>
      <w:r w:rsidRPr="00082F7B">
        <w:rPr>
          <w:rFonts w:asciiTheme="majorHAnsi" w:hAnsiTheme="majorHAnsi" w:cstheme="minorHAnsi"/>
          <w:sz w:val="24"/>
          <w:szCs w:val="24"/>
          <w:lang w:val="sr-Latn-CS"/>
        </w:rPr>
        <w:t xml:space="preserve">, </w:t>
      </w:r>
      <w:r w:rsidRPr="00082F7B">
        <w:rPr>
          <w:rFonts w:asciiTheme="majorHAnsi" w:hAnsiTheme="majorHAnsi"/>
          <w:sz w:val="24"/>
          <w:szCs w:val="24"/>
          <w:lang w:val="sr-Latn-CS"/>
        </w:rPr>
        <w:t xml:space="preserve"> pripada središnjem dijelu Crne Gore. Nalazi se u mjestu Štitarica, 4 km vazdušne linije jugozapadno od Mojkovca i 3,7 km sjeverozapadno od Biogradskog jezera, na desnoj obali Štitaričke rijeke, odnosno na sjeveroistočnim padinama planinskog uzvišenja Gradac (1.364 m</w:t>
      </w:r>
      <w:r w:rsidRPr="00082F7B">
        <w:rPr>
          <w:rFonts w:asciiTheme="majorHAnsi" w:hAnsiTheme="majorHAnsi" w:cstheme="minorHAnsi"/>
          <w:sz w:val="24"/>
          <w:szCs w:val="24"/>
          <w:lang w:val="sr-Latn-CS"/>
        </w:rPr>
        <w:t>.n.m.</w:t>
      </w:r>
      <w:r w:rsidRPr="00082F7B">
        <w:rPr>
          <w:rFonts w:asciiTheme="majorHAnsi" w:hAnsiTheme="majorHAnsi"/>
          <w:sz w:val="24"/>
          <w:szCs w:val="24"/>
          <w:lang w:val="sr-Latn-CS"/>
        </w:rPr>
        <w:t>). Rastojanje između predmetnog ležišta i Biogradskog jezera, mjereno postojećim saobraćajnicama, iznosi oko 6 km.Prema administrativnoj podjeli prostor na kome se nalazi ležište ”Štitarica - Taskavac“ pripada opštini Mojkovac.I</w:t>
      </w:r>
      <w:r w:rsidR="009F02D2" w:rsidRPr="00082F7B">
        <w:rPr>
          <w:rFonts w:asciiTheme="majorHAnsi" w:hAnsiTheme="majorHAnsi"/>
          <w:sz w:val="24"/>
          <w:szCs w:val="24"/>
          <w:lang w:val="sr-Latn-CS"/>
        </w:rPr>
        <w:t xml:space="preserve"> </w:t>
      </w:r>
      <w:r w:rsidRPr="00082F7B">
        <w:rPr>
          <w:rFonts w:asciiTheme="majorHAnsi" w:hAnsiTheme="majorHAnsi"/>
          <w:sz w:val="24"/>
          <w:szCs w:val="24"/>
          <w:lang w:val="sr-Latn-CS"/>
        </w:rPr>
        <w:t>stražno-eksploatacioni prostor i ležište tehničko-građevinskog kamena</w:t>
      </w:r>
      <w:r w:rsidRPr="00082F7B">
        <w:rPr>
          <w:rFonts w:asciiTheme="majorHAnsi" w:hAnsiTheme="majorHAnsi" w:cstheme="minorHAnsi"/>
          <w:sz w:val="24"/>
          <w:szCs w:val="24"/>
          <w:lang w:val="sr-Latn-CS"/>
        </w:rPr>
        <w:t xml:space="preserve"> (krečnjak)</w:t>
      </w:r>
      <w:r w:rsidRPr="00082F7B">
        <w:rPr>
          <w:rFonts w:asciiTheme="majorHAnsi" w:hAnsiTheme="majorHAnsi"/>
          <w:sz w:val="24"/>
          <w:szCs w:val="24"/>
          <w:lang w:val="sr-Latn-CS"/>
        </w:rPr>
        <w:t xml:space="preserve"> “Štitarica – Taskavac“ pripada geografskom listu „Ivangrad“, 1:100 000, odnosno sekciji „Mojkovac“, 1:25 000.</w:t>
      </w:r>
    </w:p>
    <w:p w14:paraId="2DA70DC0" w14:textId="77777777" w:rsidR="00F76911" w:rsidRPr="00082F7B" w:rsidRDefault="00F76911" w:rsidP="00F76911">
      <w:pPr>
        <w:spacing w:after="0" w:line="240" w:lineRule="auto"/>
        <w:jc w:val="both"/>
        <w:rPr>
          <w:rFonts w:asciiTheme="majorHAnsi" w:hAnsiTheme="majorHAnsi"/>
          <w:sz w:val="24"/>
          <w:szCs w:val="24"/>
          <w:lang w:val="sr-Latn-CS"/>
        </w:rPr>
      </w:pPr>
    </w:p>
    <w:p w14:paraId="79E2D876" w14:textId="77777777" w:rsidR="00F76911" w:rsidRPr="00082F7B" w:rsidRDefault="00F76911" w:rsidP="00F76911">
      <w:pPr>
        <w:pStyle w:val="Heading2"/>
        <w:rPr>
          <w:rFonts w:asciiTheme="majorHAnsi" w:hAnsiTheme="majorHAnsi"/>
          <w:szCs w:val="24"/>
        </w:rPr>
      </w:pPr>
      <w:bookmarkStart w:id="38" w:name="_Toc435529007"/>
      <w:bookmarkStart w:id="39" w:name="_Toc436124876"/>
      <w:bookmarkStart w:id="40" w:name="_Toc459633530"/>
      <w:r w:rsidRPr="00082F7B">
        <w:rPr>
          <w:rFonts w:asciiTheme="majorHAnsi" w:hAnsiTheme="majorHAnsi"/>
          <w:szCs w:val="24"/>
        </w:rPr>
        <w:t>Vrijednost mineralne sirovine</w:t>
      </w:r>
      <w:bookmarkEnd w:id="38"/>
      <w:bookmarkEnd w:id="39"/>
      <w:bookmarkEnd w:id="40"/>
    </w:p>
    <w:p w14:paraId="0E971F81" w14:textId="77777777" w:rsidR="00F76911" w:rsidRPr="00082F7B" w:rsidRDefault="00F76911" w:rsidP="00F76911">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 xml:space="preserve">Vrijednost mineralne sirovine proračunata je na osnovu prosječno ostvarene prodajne cijene jedinice proizvoda u 2015. godini (akt </w:t>
      </w:r>
      <w:r w:rsidRPr="00082F7B">
        <w:rPr>
          <w:rFonts w:asciiTheme="majorHAnsi" w:hAnsiTheme="majorHAnsi" w:cstheme="minorHAnsi"/>
          <w:sz w:val="24"/>
          <w:szCs w:val="24"/>
          <w:lang w:val="pl-PL"/>
        </w:rPr>
        <w:t>Zavoda za statistiku, broj: 12-375/2 od 17.02.2016. godine)</w:t>
      </w:r>
    </w:p>
    <w:p w14:paraId="56A05C6C" w14:textId="77777777" w:rsidR="00F76911" w:rsidRPr="00082F7B" w:rsidRDefault="00F76911" w:rsidP="00F76911">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 xml:space="preserve">Prosječno ostvarena prodajna cijena </w:t>
      </w:r>
      <w:r w:rsidRPr="00082F7B">
        <w:rPr>
          <w:rFonts w:asciiTheme="majorHAnsi" w:hAnsiTheme="majorHAnsi" w:cstheme="minorHAnsi"/>
          <w:sz w:val="24"/>
          <w:szCs w:val="24"/>
          <w:lang w:val="pl-PL"/>
        </w:rPr>
        <w:t>agragata koja je ostvarena u 2015. godini, prema podacima Zavoda za statistiku, iznodi 15,91 €/m</w:t>
      </w:r>
      <w:r w:rsidRPr="00082F7B">
        <w:rPr>
          <w:rFonts w:asciiTheme="majorHAnsi" w:hAnsiTheme="majorHAnsi" w:cstheme="minorHAnsi"/>
          <w:sz w:val="24"/>
          <w:szCs w:val="24"/>
          <w:vertAlign w:val="superscript"/>
          <w:lang w:val="pl-PL"/>
        </w:rPr>
        <w:t>3</w:t>
      </w:r>
      <w:r w:rsidRPr="00082F7B">
        <w:rPr>
          <w:rFonts w:asciiTheme="majorHAnsi" w:hAnsiTheme="majorHAnsi" w:cstheme="minorHAnsi"/>
          <w:sz w:val="24"/>
          <w:szCs w:val="24"/>
          <w:lang w:val="pl-PL"/>
        </w:rPr>
        <w:t xml:space="preserve"> agregata.</w:t>
      </w:r>
    </w:p>
    <w:p w14:paraId="61067CCA" w14:textId="790219B0" w:rsidR="00F76911" w:rsidRPr="00082F7B" w:rsidRDefault="00F76911" w:rsidP="00F76911">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b/>
          <w:sz w:val="24"/>
          <w:szCs w:val="24"/>
          <w:lang w:val="sr-Latn-CS"/>
        </w:rPr>
        <w:lastRenderedPageBreak/>
        <w:t>Vrijednost godišnje proizvodnje tehničko građevinskog kamena od 14.000 m</w:t>
      </w:r>
      <w:r w:rsidRPr="00082F7B">
        <w:rPr>
          <w:rFonts w:asciiTheme="majorHAnsi" w:eastAsia="Times New Roman" w:hAnsiTheme="majorHAnsi" w:cstheme="minorHAnsi"/>
          <w:b/>
          <w:sz w:val="24"/>
          <w:szCs w:val="24"/>
          <w:vertAlign w:val="superscript"/>
          <w:lang w:val="sr-Latn-CS"/>
        </w:rPr>
        <w:t>3</w:t>
      </w:r>
      <w:r w:rsidRPr="00082F7B">
        <w:rPr>
          <w:rFonts w:asciiTheme="majorHAnsi" w:eastAsia="Times New Roman" w:hAnsiTheme="majorHAnsi" w:cstheme="minorHAnsi"/>
          <w:b/>
          <w:sz w:val="24"/>
          <w:szCs w:val="24"/>
          <w:lang w:val="sr-Latn-CS"/>
        </w:rPr>
        <w:t xml:space="preserve"> , odnosno </w:t>
      </w:r>
      <w:r w:rsidR="00CC506B" w:rsidRPr="00082F7B">
        <w:rPr>
          <w:rFonts w:asciiTheme="majorHAnsi" w:eastAsia="Times New Roman" w:hAnsiTheme="majorHAnsi" w:cstheme="minorHAnsi"/>
          <w:b/>
          <w:sz w:val="24"/>
          <w:szCs w:val="24"/>
          <w:lang w:val="sr-Latn-CS"/>
        </w:rPr>
        <w:t>21.000</w:t>
      </w:r>
      <w:r w:rsidRPr="00082F7B">
        <w:rPr>
          <w:rFonts w:asciiTheme="majorHAnsi" w:eastAsia="Times New Roman" w:hAnsiTheme="majorHAnsi" w:cstheme="minorHAnsi"/>
          <w:b/>
          <w:sz w:val="24"/>
          <w:szCs w:val="24"/>
          <w:lang w:val="sr-Latn-CS"/>
        </w:rPr>
        <w:t xml:space="preserve"> agregata, iznosi </w:t>
      </w:r>
      <w:r w:rsidR="00CC506B" w:rsidRPr="00082F7B">
        <w:rPr>
          <w:rFonts w:asciiTheme="majorHAnsi" w:eastAsia="Times New Roman" w:hAnsiTheme="majorHAnsi" w:cstheme="minorHAnsi"/>
          <w:b/>
          <w:sz w:val="24"/>
          <w:szCs w:val="24"/>
          <w:lang w:val="sr-Latn-CS"/>
        </w:rPr>
        <w:t>334.110</w:t>
      </w:r>
      <w:r w:rsidRPr="00082F7B">
        <w:rPr>
          <w:rFonts w:asciiTheme="majorHAnsi" w:eastAsia="Times New Roman" w:hAnsiTheme="majorHAnsi" w:cstheme="minorHAnsi"/>
          <w:b/>
          <w:sz w:val="24"/>
          <w:szCs w:val="24"/>
          <w:lang w:val="sr-Latn-CS"/>
        </w:rPr>
        <w:t>,00 €.</w:t>
      </w:r>
    </w:p>
    <w:p w14:paraId="50EE3E41" w14:textId="09773390" w:rsidR="00F76911" w:rsidRPr="00082F7B" w:rsidRDefault="00F76911" w:rsidP="00F76911">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b/>
          <w:sz w:val="24"/>
          <w:szCs w:val="24"/>
          <w:lang w:val="sr-Latn-CS"/>
        </w:rPr>
        <w:t>Vrijednost proizvodnje tehničko građevinskog  kamena za 20 godina perioda eksploatacije (14.000 m</w:t>
      </w:r>
      <w:r w:rsidRPr="00082F7B">
        <w:rPr>
          <w:rFonts w:asciiTheme="majorHAnsi" w:eastAsia="Times New Roman" w:hAnsiTheme="majorHAnsi" w:cstheme="minorHAnsi"/>
          <w:b/>
          <w:sz w:val="24"/>
          <w:szCs w:val="24"/>
          <w:vertAlign w:val="superscript"/>
          <w:lang w:val="sr-Latn-CS"/>
        </w:rPr>
        <w:t>3</w:t>
      </w:r>
      <w:r w:rsidRPr="00082F7B">
        <w:rPr>
          <w:rFonts w:asciiTheme="majorHAnsi" w:eastAsia="Times New Roman" w:hAnsiTheme="majorHAnsi" w:cstheme="minorHAnsi"/>
          <w:b/>
          <w:sz w:val="24"/>
          <w:szCs w:val="24"/>
          <w:lang w:val="sr-Latn-CS"/>
        </w:rPr>
        <w:t xml:space="preserve">) iznosi </w:t>
      </w:r>
      <w:r w:rsidR="009F02D2" w:rsidRPr="00082F7B">
        <w:rPr>
          <w:rFonts w:asciiTheme="majorHAnsi" w:eastAsia="Times New Roman" w:hAnsiTheme="majorHAnsi" w:cstheme="minorHAnsi"/>
          <w:b/>
          <w:sz w:val="24"/>
          <w:szCs w:val="24"/>
          <w:lang w:val="sr-Latn-CS"/>
        </w:rPr>
        <w:t>6.682.200</w:t>
      </w:r>
      <w:r w:rsidRPr="00082F7B">
        <w:rPr>
          <w:rFonts w:asciiTheme="majorHAnsi" w:eastAsia="Times New Roman" w:hAnsiTheme="majorHAnsi" w:cstheme="minorHAnsi"/>
          <w:b/>
          <w:sz w:val="24"/>
          <w:szCs w:val="24"/>
          <w:lang w:val="sr-Latn-CS"/>
        </w:rPr>
        <w:t>,00 €.</w:t>
      </w:r>
    </w:p>
    <w:p w14:paraId="5ED71A87" w14:textId="5C52028A" w:rsidR="00F76911" w:rsidRPr="00082F7B" w:rsidRDefault="00F76911" w:rsidP="00F76911">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b/>
          <w:sz w:val="24"/>
          <w:szCs w:val="24"/>
          <w:lang w:val="sr-Latn-CS"/>
        </w:rPr>
        <w:t xml:space="preserve">Vrijednost godišnje proizvodnje tehničko-građevinskog kamena iznosi </w:t>
      </w:r>
      <w:r w:rsidR="009F02D2" w:rsidRPr="00082F7B">
        <w:rPr>
          <w:rFonts w:asciiTheme="majorHAnsi" w:eastAsia="Times New Roman" w:hAnsiTheme="majorHAnsi" w:cstheme="minorHAnsi"/>
          <w:b/>
          <w:sz w:val="24"/>
          <w:szCs w:val="24"/>
          <w:lang w:val="sr-Latn-CS"/>
        </w:rPr>
        <w:t xml:space="preserve">334.110,00 </w:t>
      </w:r>
      <w:r w:rsidRPr="00082F7B">
        <w:rPr>
          <w:rFonts w:asciiTheme="majorHAnsi" w:eastAsia="Times New Roman" w:hAnsiTheme="majorHAnsi" w:cstheme="minorHAnsi"/>
          <w:b/>
          <w:sz w:val="24"/>
          <w:szCs w:val="24"/>
          <w:lang w:val="sr-Latn-CS"/>
        </w:rPr>
        <w:t>€.</w:t>
      </w:r>
    </w:p>
    <w:p w14:paraId="7D21A1DA" w14:textId="5D50B653" w:rsidR="00F76911" w:rsidRPr="00082F7B" w:rsidRDefault="00F76911" w:rsidP="00F76911">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b/>
          <w:sz w:val="24"/>
          <w:szCs w:val="24"/>
          <w:lang w:val="sr-Latn-CS"/>
        </w:rPr>
        <w:t>Vrijednost proizvodnje tehničko-građevinskog kamena za 20 godina perioda eksploatacije (2</w:t>
      </w:r>
      <w:r w:rsidR="009F02D2" w:rsidRPr="00082F7B">
        <w:rPr>
          <w:rFonts w:asciiTheme="majorHAnsi" w:eastAsia="Times New Roman" w:hAnsiTheme="majorHAnsi" w:cstheme="minorHAnsi"/>
          <w:b/>
          <w:sz w:val="24"/>
          <w:szCs w:val="24"/>
          <w:lang w:val="sr-Latn-CS"/>
        </w:rPr>
        <w:t>80</w:t>
      </w:r>
      <w:r w:rsidRPr="00082F7B">
        <w:rPr>
          <w:rFonts w:asciiTheme="majorHAnsi" w:eastAsia="Times New Roman" w:hAnsiTheme="majorHAnsi" w:cstheme="minorHAnsi"/>
          <w:b/>
          <w:sz w:val="24"/>
          <w:szCs w:val="24"/>
          <w:lang w:val="sr-Latn-CS"/>
        </w:rPr>
        <w:t>.</w:t>
      </w:r>
      <w:r w:rsidR="009F02D2" w:rsidRPr="00082F7B">
        <w:rPr>
          <w:rFonts w:asciiTheme="majorHAnsi" w:eastAsia="Times New Roman" w:hAnsiTheme="majorHAnsi" w:cstheme="minorHAnsi"/>
          <w:b/>
          <w:sz w:val="24"/>
          <w:szCs w:val="24"/>
          <w:lang w:val="sr-Latn-CS"/>
        </w:rPr>
        <w:t>00</w:t>
      </w:r>
      <w:r w:rsidRPr="00082F7B">
        <w:rPr>
          <w:rFonts w:asciiTheme="majorHAnsi" w:eastAsia="Times New Roman" w:hAnsiTheme="majorHAnsi" w:cstheme="minorHAnsi"/>
          <w:b/>
          <w:sz w:val="24"/>
          <w:szCs w:val="24"/>
          <w:lang w:val="sr-Latn-CS"/>
        </w:rPr>
        <w:t>0 m</w:t>
      </w:r>
      <w:r w:rsidRPr="00082F7B">
        <w:rPr>
          <w:rFonts w:asciiTheme="majorHAnsi" w:eastAsia="Times New Roman" w:hAnsiTheme="majorHAnsi" w:cstheme="minorHAnsi"/>
          <w:b/>
          <w:sz w:val="24"/>
          <w:szCs w:val="24"/>
          <w:vertAlign w:val="superscript"/>
          <w:lang w:val="sr-Latn-CS"/>
        </w:rPr>
        <w:t xml:space="preserve">3 </w:t>
      </w:r>
      <w:r w:rsidRPr="00082F7B">
        <w:rPr>
          <w:rFonts w:asciiTheme="majorHAnsi" w:eastAsia="Times New Roman" w:hAnsiTheme="majorHAnsi" w:cstheme="minorHAnsi"/>
          <w:b/>
          <w:sz w:val="24"/>
          <w:szCs w:val="24"/>
          <w:lang w:val="sr-Latn-CS"/>
        </w:rPr>
        <w:t xml:space="preserve">č.s.m.) iznosi </w:t>
      </w:r>
      <w:r w:rsidR="009F02D2" w:rsidRPr="00082F7B">
        <w:rPr>
          <w:rFonts w:asciiTheme="majorHAnsi" w:eastAsia="Times New Roman" w:hAnsiTheme="majorHAnsi" w:cstheme="minorHAnsi"/>
          <w:b/>
          <w:sz w:val="24"/>
          <w:szCs w:val="24"/>
          <w:lang w:val="sr-Latn-CS"/>
        </w:rPr>
        <w:t xml:space="preserve">6.682.200,00 </w:t>
      </w:r>
      <w:r w:rsidRPr="00082F7B">
        <w:rPr>
          <w:rFonts w:asciiTheme="majorHAnsi" w:eastAsia="Times New Roman" w:hAnsiTheme="majorHAnsi" w:cstheme="minorHAnsi"/>
          <w:b/>
          <w:sz w:val="24"/>
          <w:szCs w:val="24"/>
          <w:lang w:val="sr-Latn-CS"/>
        </w:rPr>
        <w:t>€.</w:t>
      </w:r>
    </w:p>
    <w:p w14:paraId="48972674" w14:textId="77777777" w:rsidR="00F76911" w:rsidRPr="00082F7B" w:rsidRDefault="00F76911" w:rsidP="00F76911">
      <w:pPr>
        <w:pStyle w:val="Heading2"/>
        <w:rPr>
          <w:rFonts w:asciiTheme="majorHAnsi" w:hAnsiTheme="majorHAnsi"/>
          <w:szCs w:val="24"/>
        </w:rPr>
      </w:pPr>
      <w:bookmarkStart w:id="41" w:name="_Toc401959416"/>
      <w:bookmarkStart w:id="42" w:name="_Toc401959509"/>
      <w:bookmarkStart w:id="43" w:name="_Toc459633531"/>
      <w:r w:rsidRPr="00082F7B">
        <w:rPr>
          <w:rFonts w:asciiTheme="majorHAnsi" w:hAnsiTheme="majorHAnsi"/>
          <w:szCs w:val="24"/>
        </w:rPr>
        <w:t>Kapacitet površinskog kopa</w:t>
      </w:r>
      <w:bookmarkEnd w:id="41"/>
      <w:bookmarkEnd w:id="42"/>
      <w:bookmarkEnd w:id="43"/>
    </w:p>
    <w:p w14:paraId="7673B587" w14:textId="63C15BCD" w:rsidR="00F653C8" w:rsidRPr="00082F7B" w:rsidRDefault="00F653C8" w:rsidP="00F76911">
      <w:pPr>
        <w:pStyle w:val="Heading2"/>
        <w:numPr>
          <w:ilvl w:val="0"/>
          <w:numId w:val="0"/>
        </w:numPr>
        <w:spacing w:before="0" w:after="0" w:line="240" w:lineRule="auto"/>
        <w:rPr>
          <w:rFonts w:asciiTheme="majorHAnsi" w:hAnsiTheme="majorHAnsi"/>
          <w:szCs w:val="24"/>
        </w:rPr>
      </w:pPr>
    </w:p>
    <w:p w14:paraId="225ECDF8" w14:textId="0BEBA19D" w:rsidR="00F653C8" w:rsidRPr="00082F7B" w:rsidRDefault="00F653C8" w:rsidP="00F76911">
      <w:pPr>
        <w:spacing w:after="0" w:line="240" w:lineRule="auto"/>
        <w:jc w:val="both"/>
        <w:rPr>
          <w:rFonts w:asciiTheme="majorHAnsi" w:eastAsia="Calibri" w:hAnsiTheme="majorHAnsi" w:cstheme="minorHAnsi"/>
          <w:sz w:val="24"/>
          <w:szCs w:val="24"/>
        </w:rPr>
      </w:pPr>
      <w:r w:rsidRPr="00082F7B">
        <w:rPr>
          <w:rFonts w:asciiTheme="majorHAnsi" w:eastAsia="Calibri" w:hAnsiTheme="majorHAnsi" w:cstheme="minorHAnsi"/>
          <w:sz w:val="24"/>
          <w:szCs w:val="24"/>
        </w:rPr>
        <w:t>Eksploatacione rezerve tehničko-</w:t>
      </w:r>
      <w:r w:rsidR="00365C7E" w:rsidRPr="00082F7B">
        <w:rPr>
          <w:rFonts w:asciiTheme="majorHAnsi" w:eastAsia="Calibri" w:hAnsiTheme="majorHAnsi" w:cstheme="minorHAnsi"/>
          <w:sz w:val="24"/>
          <w:szCs w:val="24"/>
        </w:rPr>
        <w:t>građevinskog kamena iznose 1.075.110</w:t>
      </w:r>
      <w:r w:rsidRPr="00082F7B">
        <w:rPr>
          <w:rFonts w:asciiTheme="majorHAnsi" w:hAnsiTheme="majorHAnsi" w:cstheme="minorHAnsi"/>
          <w:sz w:val="24"/>
          <w:szCs w:val="24"/>
        </w:rPr>
        <w:t xml:space="preserve"> </w:t>
      </w:r>
      <w:r w:rsidRPr="00082F7B">
        <w:rPr>
          <w:rFonts w:asciiTheme="majorHAnsi" w:eastAsia="Calibri" w:hAnsiTheme="majorHAnsi" w:cstheme="minorHAnsi"/>
          <w:sz w:val="24"/>
          <w:szCs w:val="24"/>
        </w:rPr>
        <w:t>m</w:t>
      </w:r>
      <w:r w:rsidRPr="00082F7B">
        <w:rPr>
          <w:rFonts w:asciiTheme="majorHAnsi" w:eastAsia="Calibri" w:hAnsiTheme="majorHAnsi" w:cstheme="minorHAnsi"/>
          <w:sz w:val="24"/>
          <w:szCs w:val="24"/>
          <w:vertAlign w:val="superscript"/>
        </w:rPr>
        <w:t xml:space="preserve">3 </w:t>
      </w:r>
      <w:r w:rsidRPr="00082F7B">
        <w:rPr>
          <w:rFonts w:asciiTheme="majorHAnsi" w:eastAsia="Calibri" w:hAnsiTheme="majorHAnsi" w:cstheme="minorHAnsi"/>
          <w:sz w:val="24"/>
          <w:szCs w:val="24"/>
        </w:rPr>
        <w:t xml:space="preserve">č.s.m. </w:t>
      </w:r>
    </w:p>
    <w:p w14:paraId="69A3CB37" w14:textId="77777777" w:rsidR="00F76911" w:rsidRPr="00082F7B" w:rsidRDefault="00F76911" w:rsidP="00F76911">
      <w:pPr>
        <w:spacing w:after="0" w:line="240" w:lineRule="auto"/>
        <w:jc w:val="both"/>
        <w:rPr>
          <w:rFonts w:asciiTheme="majorHAnsi" w:eastAsia="Calibri" w:hAnsiTheme="majorHAnsi" w:cstheme="minorHAnsi"/>
          <w:sz w:val="24"/>
          <w:szCs w:val="24"/>
        </w:rPr>
      </w:pPr>
    </w:p>
    <w:p w14:paraId="600494A4" w14:textId="7AA5CF76" w:rsidR="00266CEB" w:rsidRPr="00082F7B" w:rsidRDefault="00266CEB" w:rsidP="00266CEB">
      <w:pPr>
        <w:spacing w:after="0" w:line="240" w:lineRule="auto"/>
        <w:jc w:val="both"/>
        <w:rPr>
          <w:rFonts w:asciiTheme="majorHAnsi" w:eastAsia="Calibri" w:hAnsiTheme="majorHAnsi" w:cstheme="minorHAnsi"/>
          <w:sz w:val="24"/>
          <w:szCs w:val="24"/>
        </w:rPr>
      </w:pPr>
      <w:r w:rsidRPr="00082F7B">
        <w:rPr>
          <w:rFonts w:asciiTheme="majorHAnsi" w:eastAsia="Times New Roman" w:hAnsiTheme="majorHAnsi" w:cstheme="minorHAnsi"/>
          <w:sz w:val="24"/>
          <w:szCs w:val="24"/>
          <w:lang w:val="sr-Latn-CS"/>
        </w:rPr>
        <w:t xml:space="preserve">Proizvodnja tehničko-građevinskog na ležištu ostvarena u proteklih devet godina od </w:t>
      </w:r>
      <w:r w:rsidR="005B2F5C" w:rsidRPr="00082F7B">
        <w:rPr>
          <w:rFonts w:asciiTheme="majorHAnsi" w:eastAsia="Times New Roman" w:hAnsiTheme="majorHAnsi" w:cstheme="minorHAnsi"/>
          <w:sz w:val="24"/>
          <w:szCs w:val="24"/>
          <w:lang w:val="sr-Latn-CS"/>
        </w:rPr>
        <w:t xml:space="preserve">strane prethodnog koncesionara </w:t>
      </w:r>
      <w:r w:rsidRPr="00082F7B">
        <w:rPr>
          <w:rFonts w:asciiTheme="majorHAnsi" w:eastAsia="Times New Roman" w:hAnsiTheme="majorHAnsi" w:cstheme="minorHAnsi"/>
          <w:sz w:val="24"/>
          <w:szCs w:val="24"/>
          <w:lang w:val="sr-Latn-CS"/>
        </w:rPr>
        <w:t>prikazana je u tabeli:</w:t>
      </w:r>
    </w:p>
    <w:p w14:paraId="4BB7EC40" w14:textId="77777777" w:rsidR="00F76911" w:rsidRPr="00082F7B" w:rsidRDefault="00F76911" w:rsidP="00F76911">
      <w:pPr>
        <w:spacing w:after="0" w:line="240" w:lineRule="auto"/>
        <w:jc w:val="both"/>
        <w:rPr>
          <w:rFonts w:asciiTheme="majorHAnsi" w:eastAsia="Calibri" w:hAnsiTheme="majorHAnsi" w:cstheme="minorHAnsi"/>
          <w:sz w:val="24"/>
          <w:szCs w:val="24"/>
        </w:rPr>
      </w:pPr>
    </w:p>
    <w:p w14:paraId="69EF22F9" w14:textId="77777777" w:rsidR="00F76911" w:rsidRPr="00082F7B" w:rsidRDefault="00F76911" w:rsidP="00F76911">
      <w:pPr>
        <w:spacing w:after="0" w:line="240" w:lineRule="auto"/>
        <w:jc w:val="both"/>
        <w:rPr>
          <w:rFonts w:asciiTheme="majorHAnsi" w:eastAsia="Calibri" w:hAnsiTheme="majorHAnsi" w:cstheme="minorHAnsi"/>
          <w:sz w:val="24"/>
          <w:szCs w:val="24"/>
        </w:rPr>
      </w:pPr>
    </w:p>
    <w:tbl>
      <w:tblPr>
        <w:tblStyle w:val="TableGrid1"/>
        <w:tblW w:w="0" w:type="auto"/>
        <w:tblLayout w:type="fixed"/>
        <w:tblLook w:val="04A0" w:firstRow="1" w:lastRow="0" w:firstColumn="1" w:lastColumn="0" w:noHBand="0" w:noVBand="1"/>
      </w:tblPr>
      <w:tblGrid>
        <w:gridCol w:w="1363"/>
        <w:gridCol w:w="2289"/>
        <w:gridCol w:w="2410"/>
        <w:gridCol w:w="2410"/>
      </w:tblGrid>
      <w:tr w:rsidR="00266CEB" w:rsidRPr="00082F7B" w14:paraId="1DBBA2BE" w14:textId="77777777" w:rsidTr="00266CEB">
        <w:trPr>
          <w:trHeight w:val="413"/>
        </w:trPr>
        <w:tc>
          <w:tcPr>
            <w:tcW w:w="1363" w:type="dxa"/>
            <w:vMerge w:val="restart"/>
          </w:tcPr>
          <w:p w14:paraId="0B6EA3E8" w14:textId="77777777" w:rsidR="00266CEB" w:rsidRPr="00082F7B" w:rsidRDefault="00266CEB" w:rsidP="00266CEB">
            <w:pPr>
              <w:spacing w:after="120"/>
              <w:jc w:val="center"/>
              <w:rPr>
                <w:rFonts w:asciiTheme="majorHAnsi" w:hAnsiTheme="majorHAnsi" w:cs="Arial"/>
                <w:b/>
                <w:sz w:val="24"/>
                <w:szCs w:val="24"/>
              </w:rPr>
            </w:pPr>
          </w:p>
          <w:p w14:paraId="2E92C2EA"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cs="Arial"/>
                <w:sz w:val="24"/>
                <w:szCs w:val="24"/>
              </w:rPr>
              <w:t>GODINA</w:t>
            </w:r>
          </w:p>
        </w:tc>
        <w:tc>
          <w:tcPr>
            <w:tcW w:w="7109" w:type="dxa"/>
            <w:gridSpan w:val="3"/>
          </w:tcPr>
          <w:p w14:paraId="4F4C575C" w14:textId="77777777" w:rsidR="00266CEB" w:rsidRPr="00082F7B" w:rsidRDefault="00266CEB" w:rsidP="00266CEB">
            <w:pPr>
              <w:spacing w:after="120"/>
              <w:jc w:val="center"/>
              <w:rPr>
                <w:rFonts w:asciiTheme="majorHAnsi" w:hAnsiTheme="majorHAnsi" w:cs="Arial"/>
                <w:b/>
                <w:sz w:val="24"/>
                <w:szCs w:val="24"/>
              </w:rPr>
            </w:pPr>
          </w:p>
          <w:p w14:paraId="3EC041C8" w14:textId="77777777" w:rsidR="00266CEB" w:rsidRPr="00082F7B" w:rsidRDefault="00266CEB" w:rsidP="00266CEB">
            <w:pPr>
              <w:spacing w:after="120"/>
              <w:jc w:val="center"/>
              <w:rPr>
                <w:rFonts w:asciiTheme="majorHAnsi" w:hAnsiTheme="majorHAnsi" w:cs="Arial"/>
                <w:b/>
                <w:sz w:val="24"/>
                <w:szCs w:val="24"/>
              </w:rPr>
            </w:pPr>
            <w:r w:rsidRPr="00082F7B">
              <w:rPr>
                <w:rFonts w:asciiTheme="majorHAnsi" w:hAnsiTheme="majorHAnsi" w:cs="Arial"/>
                <w:b/>
                <w:sz w:val="24"/>
                <w:szCs w:val="24"/>
              </w:rPr>
              <w:t>PROIZVODNJA</w:t>
            </w:r>
          </w:p>
          <w:p w14:paraId="70A87BEE" w14:textId="77777777" w:rsidR="00266CEB" w:rsidRPr="00082F7B" w:rsidRDefault="00266CEB" w:rsidP="00266CEB">
            <w:pPr>
              <w:spacing w:after="120"/>
              <w:jc w:val="center"/>
              <w:rPr>
                <w:rFonts w:asciiTheme="majorHAnsi" w:hAnsiTheme="majorHAnsi"/>
                <w:sz w:val="24"/>
                <w:szCs w:val="24"/>
              </w:rPr>
            </w:pPr>
          </w:p>
        </w:tc>
      </w:tr>
      <w:tr w:rsidR="00266CEB" w:rsidRPr="00082F7B" w14:paraId="1FB448C8" w14:textId="77777777" w:rsidTr="00266CEB">
        <w:trPr>
          <w:trHeight w:val="350"/>
        </w:trPr>
        <w:tc>
          <w:tcPr>
            <w:tcW w:w="1363" w:type="dxa"/>
            <w:vMerge/>
          </w:tcPr>
          <w:p w14:paraId="425F15A3" w14:textId="77777777" w:rsidR="00266CEB" w:rsidRPr="00082F7B" w:rsidRDefault="00266CEB" w:rsidP="00266CEB">
            <w:pPr>
              <w:keepNext/>
              <w:keepLines/>
              <w:spacing w:before="480" w:after="120" w:line="276" w:lineRule="auto"/>
              <w:jc w:val="center"/>
              <w:outlineLvl w:val="0"/>
              <w:rPr>
                <w:rFonts w:asciiTheme="majorHAnsi" w:hAnsiTheme="majorHAnsi"/>
                <w:sz w:val="24"/>
                <w:szCs w:val="24"/>
              </w:rPr>
            </w:pPr>
          </w:p>
        </w:tc>
        <w:tc>
          <w:tcPr>
            <w:tcW w:w="2289" w:type="dxa"/>
          </w:tcPr>
          <w:p w14:paraId="54CDD40C" w14:textId="77777777" w:rsidR="00266CEB" w:rsidRPr="00082F7B" w:rsidRDefault="00266CEB" w:rsidP="00266CEB">
            <w:pPr>
              <w:spacing w:after="120" w:line="276" w:lineRule="auto"/>
              <w:jc w:val="center"/>
              <w:rPr>
                <w:rFonts w:asciiTheme="majorHAnsi" w:hAnsiTheme="majorHAnsi"/>
                <w:sz w:val="24"/>
                <w:szCs w:val="24"/>
              </w:rPr>
            </w:pPr>
            <w:r w:rsidRPr="00082F7B">
              <w:rPr>
                <w:rFonts w:asciiTheme="majorHAnsi" w:hAnsiTheme="majorHAnsi" w:cs="Arial"/>
                <w:b/>
                <w:sz w:val="24"/>
                <w:szCs w:val="24"/>
              </w:rPr>
              <w:t>UGOVORENA</w:t>
            </w:r>
          </w:p>
        </w:tc>
        <w:tc>
          <w:tcPr>
            <w:tcW w:w="2410" w:type="dxa"/>
          </w:tcPr>
          <w:p w14:paraId="774CB549" w14:textId="77777777" w:rsidR="00266CEB" w:rsidRPr="00082F7B" w:rsidRDefault="00266CEB" w:rsidP="00266CEB">
            <w:pPr>
              <w:spacing w:after="120" w:line="276" w:lineRule="auto"/>
              <w:jc w:val="center"/>
              <w:rPr>
                <w:rFonts w:asciiTheme="majorHAnsi" w:hAnsiTheme="majorHAnsi"/>
                <w:sz w:val="24"/>
                <w:szCs w:val="24"/>
              </w:rPr>
            </w:pPr>
            <w:r w:rsidRPr="00082F7B">
              <w:rPr>
                <w:rFonts w:asciiTheme="majorHAnsi" w:hAnsiTheme="majorHAnsi" w:cs="Arial"/>
                <w:b/>
                <w:sz w:val="24"/>
                <w:szCs w:val="24"/>
              </w:rPr>
              <w:t>OSTVARENA</w:t>
            </w:r>
          </w:p>
        </w:tc>
        <w:tc>
          <w:tcPr>
            <w:tcW w:w="2410" w:type="dxa"/>
          </w:tcPr>
          <w:p w14:paraId="54D3A50F" w14:textId="77777777" w:rsidR="00266CEB" w:rsidRPr="00082F7B" w:rsidRDefault="00266CEB" w:rsidP="00266CEB">
            <w:pPr>
              <w:spacing w:after="120" w:line="276" w:lineRule="auto"/>
              <w:jc w:val="center"/>
              <w:rPr>
                <w:rFonts w:asciiTheme="majorHAnsi" w:hAnsiTheme="majorHAnsi"/>
                <w:sz w:val="24"/>
                <w:szCs w:val="24"/>
              </w:rPr>
            </w:pPr>
            <w:r w:rsidRPr="00082F7B">
              <w:rPr>
                <w:rFonts w:asciiTheme="majorHAnsi" w:hAnsiTheme="majorHAnsi" w:cs="Arial"/>
                <w:b/>
                <w:sz w:val="24"/>
                <w:szCs w:val="24"/>
              </w:rPr>
              <w:t>%</w:t>
            </w:r>
            <w:r w:rsidRPr="00082F7B">
              <w:rPr>
                <w:rFonts w:asciiTheme="majorHAnsi" w:hAnsiTheme="majorHAnsi" w:cs="Arial"/>
                <w:b/>
                <w:sz w:val="24"/>
                <w:szCs w:val="24"/>
                <w:vertAlign w:val="superscript"/>
              </w:rPr>
              <w:t>1</w:t>
            </w:r>
          </w:p>
        </w:tc>
      </w:tr>
      <w:tr w:rsidR="00266CEB" w:rsidRPr="00082F7B" w14:paraId="5AD02D04" w14:textId="77777777" w:rsidTr="00266CEB">
        <w:tc>
          <w:tcPr>
            <w:tcW w:w="1363" w:type="dxa"/>
          </w:tcPr>
          <w:p w14:paraId="6258DCD2"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2006.</w:t>
            </w:r>
          </w:p>
        </w:tc>
        <w:tc>
          <w:tcPr>
            <w:tcW w:w="2289" w:type="dxa"/>
          </w:tcPr>
          <w:p w14:paraId="061C5F07"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097630E4"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22.472</w:t>
            </w:r>
          </w:p>
        </w:tc>
        <w:tc>
          <w:tcPr>
            <w:tcW w:w="2410" w:type="dxa"/>
          </w:tcPr>
          <w:p w14:paraId="163E47CA"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74,9</w:t>
            </w:r>
          </w:p>
        </w:tc>
      </w:tr>
      <w:tr w:rsidR="00266CEB" w:rsidRPr="00082F7B" w14:paraId="07757A86" w14:textId="77777777" w:rsidTr="00266CEB">
        <w:tc>
          <w:tcPr>
            <w:tcW w:w="1363" w:type="dxa"/>
          </w:tcPr>
          <w:p w14:paraId="7F5BD222"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2007.</w:t>
            </w:r>
          </w:p>
        </w:tc>
        <w:tc>
          <w:tcPr>
            <w:tcW w:w="2289" w:type="dxa"/>
          </w:tcPr>
          <w:p w14:paraId="009960D6"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1724963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21.313,84</w:t>
            </w:r>
          </w:p>
        </w:tc>
        <w:tc>
          <w:tcPr>
            <w:tcW w:w="2410" w:type="dxa"/>
          </w:tcPr>
          <w:p w14:paraId="71A440E1"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71,05</w:t>
            </w:r>
          </w:p>
        </w:tc>
      </w:tr>
      <w:tr w:rsidR="00266CEB" w:rsidRPr="00082F7B" w14:paraId="36F0C01A" w14:textId="77777777" w:rsidTr="00266CEB">
        <w:tc>
          <w:tcPr>
            <w:tcW w:w="1363" w:type="dxa"/>
          </w:tcPr>
          <w:p w14:paraId="40EA2745"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2008.</w:t>
            </w:r>
          </w:p>
        </w:tc>
        <w:tc>
          <w:tcPr>
            <w:tcW w:w="2289" w:type="dxa"/>
          </w:tcPr>
          <w:p w14:paraId="71F14B91"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50ED0125"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26.269</w:t>
            </w:r>
          </w:p>
        </w:tc>
        <w:tc>
          <w:tcPr>
            <w:tcW w:w="2410" w:type="dxa"/>
          </w:tcPr>
          <w:p w14:paraId="2F51D1DE"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87,56</w:t>
            </w:r>
          </w:p>
        </w:tc>
      </w:tr>
      <w:tr w:rsidR="00266CEB" w:rsidRPr="00082F7B" w14:paraId="5FD1690F" w14:textId="77777777" w:rsidTr="00266CEB">
        <w:tc>
          <w:tcPr>
            <w:tcW w:w="1363" w:type="dxa"/>
          </w:tcPr>
          <w:p w14:paraId="4D067817"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2009.</w:t>
            </w:r>
          </w:p>
        </w:tc>
        <w:tc>
          <w:tcPr>
            <w:tcW w:w="2289" w:type="dxa"/>
          </w:tcPr>
          <w:p w14:paraId="0C39F19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25F6ACB0"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3.023</w:t>
            </w:r>
          </w:p>
        </w:tc>
        <w:tc>
          <w:tcPr>
            <w:tcW w:w="2410" w:type="dxa"/>
          </w:tcPr>
          <w:p w14:paraId="034BAC90"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10,08</w:t>
            </w:r>
          </w:p>
        </w:tc>
      </w:tr>
      <w:tr w:rsidR="00266CEB" w:rsidRPr="00082F7B" w14:paraId="76F37CE5" w14:textId="77777777" w:rsidTr="00266CEB">
        <w:tc>
          <w:tcPr>
            <w:tcW w:w="1363" w:type="dxa"/>
          </w:tcPr>
          <w:p w14:paraId="7FB857FC"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2010.</w:t>
            </w:r>
          </w:p>
        </w:tc>
        <w:tc>
          <w:tcPr>
            <w:tcW w:w="2289" w:type="dxa"/>
          </w:tcPr>
          <w:p w14:paraId="5E146232"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4F07F78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16.270</w:t>
            </w:r>
          </w:p>
        </w:tc>
        <w:tc>
          <w:tcPr>
            <w:tcW w:w="2410" w:type="dxa"/>
          </w:tcPr>
          <w:p w14:paraId="7FB09876"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54,23</w:t>
            </w:r>
          </w:p>
        </w:tc>
      </w:tr>
      <w:tr w:rsidR="00266CEB" w:rsidRPr="00082F7B" w14:paraId="20666F82" w14:textId="77777777" w:rsidTr="00266CEB">
        <w:tc>
          <w:tcPr>
            <w:tcW w:w="1363" w:type="dxa"/>
          </w:tcPr>
          <w:p w14:paraId="760B55F9"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2011.</w:t>
            </w:r>
          </w:p>
        </w:tc>
        <w:tc>
          <w:tcPr>
            <w:tcW w:w="2289" w:type="dxa"/>
          </w:tcPr>
          <w:p w14:paraId="2BEE2A2B"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6AD47F12"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16.097</w:t>
            </w:r>
          </w:p>
        </w:tc>
        <w:tc>
          <w:tcPr>
            <w:tcW w:w="2410" w:type="dxa"/>
          </w:tcPr>
          <w:p w14:paraId="751BD25E"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53,66</w:t>
            </w:r>
          </w:p>
        </w:tc>
      </w:tr>
      <w:tr w:rsidR="00266CEB" w:rsidRPr="00082F7B" w14:paraId="5FF7E52E" w14:textId="77777777" w:rsidTr="00266CEB">
        <w:tc>
          <w:tcPr>
            <w:tcW w:w="1363" w:type="dxa"/>
          </w:tcPr>
          <w:p w14:paraId="14D09A0F"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sz w:val="24"/>
                <w:szCs w:val="24"/>
              </w:rPr>
              <w:t>2012.</w:t>
            </w:r>
          </w:p>
        </w:tc>
        <w:tc>
          <w:tcPr>
            <w:tcW w:w="2289" w:type="dxa"/>
          </w:tcPr>
          <w:p w14:paraId="21B2DE09"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65FCB5AA"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8.373</w:t>
            </w:r>
          </w:p>
        </w:tc>
        <w:tc>
          <w:tcPr>
            <w:tcW w:w="2410" w:type="dxa"/>
          </w:tcPr>
          <w:p w14:paraId="2AD23604"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27,91</w:t>
            </w:r>
          </w:p>
        </w:tc>
      </w:tr>
      <w:tr w:rsidR="00266CEB" w:rsidRPr="00082F7B" w14:paraId="58BCBC83" w14:textId="77777777" w:rsidTr="00266CEB">
        <w:tc>
          <w:tcPr>
            <w:tcW w:w="1363" w:type="dxa"/>
          </w:tcPr>
          <w:p w14:paraId="441FF2E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2013.</w:t>
            </w:r>
          </w:p>
        </w:tc>
        <w:tc>
          <w:tcPr>
            <w:tcW w:w="2289" w:type="dxa"/>
          </w:tcPr>
          <w:p w14:paraId="18B72014"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445658A9"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7.503</w:t>
            </w:r>
          </w:p>
        </w:tc>
        <w:tc>
          <w:tcPr>
            <w:tcW w:w="2410" w:type="dxa"/>
          </w:tcPr>
          <w:p w14:paraId="3F942A7B"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25,01</w:t>
            </w:r>
          </w:p>
        </w:tc>
      </w:tr>
      <w:tr w:rsidR="00266CEB" w:rsidRPr="00082F7B" w14:paraId="004CAAD2" w14:textId="77777777" w:rsidTr="00266CEB">
        <w:tc>
          <w:tcPr>
            <w:tcW w:w="1363" w:type="dxa"/>
          </w:tcPr>
          <w:p w14:paraId="5B98C900"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2014.</w:t>
            </w:r>
          </w:p>
        </w:tc>
        <w:tc>
          <w:tcPr>
            <w:tcW w:w="2289" w:type="dxa"/>
          </w:tcPr>
          <w:p w14:paraId="0F63F5E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30.000</w:t>
            </w:r>
          </w:p>
        </w:tc>
        <w:tc>
          <w:tcPr>
            <w:tcW w:w="2410" w:type="dxa"/>
          </w:tcPr>
          <w:p w14:paraId="08DE07F3"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10.615</w:t>
            </w:r>
          </w:p>
        </w:tc>
        <w:tc>
          <w:tcPr>
            <w:tcW w:w="2410" w:type="dxa"/>
          </w:tcPr>
          <w:p w14:paraId="48E3A502"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35,38</w:t>
            </w:r>
          </w:p>
        </w:tc>
      </w:tr>
      <w:tr w:rsidR="00266CEB" w:rsidRPr="00082F7B" w14:paraId="411D0A8D" w14:textId="77777777" w:rsidTr="00266CEB">
        <w:tc>
          <w:tcPr>
            <w:tcW w:w="1363" w:type="dxa"/>
          </w:tcPr>
          <w:p w14:paraId="1841DA5C"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2015.</w:t>
            </w:r>
          </w:p>
        </w:tc>
        <w:tc>
          <w:tcPr>
            <w:tcW w:w="2289" w:type="dxa"/>
          </w:tcPr>
          <w:p w14:paraId="3162CB5F" w14:textId="77777777" w:rsidR="00266CEB" w:rsidRPr="00082F7B" w:rsidRDefault="00266CEB" w:rsidP="00266CEB">
            <w:pPr>
              <w:spacing w:after="120"/>
              <w:jc w:val="center"/>
              <w:rPr>
                <w:rFonts w:asciiTheme="majorHAnsi" w:hAnsiTheme="majorHAnsi"/>
                <w:sz w:val="24"/>
                <w:szCs w:val="24"/>
              </w:rPr>
            </w:pPr>
          </w:p>
        </w:tc>
        <w:tc>
          <w:tcPr>
            <w:tcW w:w="2410" w:type="dxa"/>
          </w:tcPr>
          <w:p w14:paraId="3620DC73" w14:textId="77777777" w:rsidR="00266CEB" w:rsidRPr="00082F7B" w:rsidRDefault="00266CEB" w:rsidP="00266CEB">
            <w:pPr>
              <w:spacing w:after="120"/>
              <w:jc w:val="center"/>
              <w:rPr>
                <w:rFonts w:asciiTheme="majorHAnsi" w:hAnsiTheme="majorHAnsi"/>
                <w:sz w:val="24"/>
                <w:szCs w:val="24"/>
              </w:rPr>
            </w:pPr>
          </w:p>
        </w:tc>
        <w:tc>
          <w:tcPr>
            <w:tcW w:w="2410" w:type="dxa"/>
          </w:tcPr>
          <w:p w14:paraId="25B60B22" w14:textId="77777777" w:rsidR="00266CEB" w:rsidRPr="00082F7B" w:rsidRDefault="00266CEB" w:rsidP="00266CEB">
            <w:pPr>
              <w:spacing w:after="120"/>
              <w:jc w:val="center"/>
              <w:rPr>
                <w:rFonts w:asciiTheme="majorHAnsi" w:hAnsiTheme="majorHAnsi"/>
                <w:sz w:val="24"/>
                <w:szCs w:val="24"/>
              </w:rPr>
            </w:pPr>
          </w:p>
        </w:tc>
      </w:tr>
      <w:tr w:rsidR="00266CEB" w:rsidRPr="00082F7B" w14:paraId="761F4B66" w14:textId="77777777" w:rsidTr="00266CEB">
        <w:trPr>
          <w:trHeight w:val="485"/>
        </w:trPr>
        <w:tc>
          <w:tcPr>
            <w:tcW w:w="1363" w:type="dxa"/>
          </w:tcPr>
          <w:p w14:paraId="122AAD66" w14:textId="77777777" w:rsidR="00266CEB" w:rsidRPr="00082F7B" w:rsidRDefault="00266CEB" w:rsidP="00266CEB">
            <w:pPr>
              <w:spacing w:after="120"/>
              <w:jc w:val="center"/>
              <w:rPr>
                <w:rFonts w:asciiTheme="majorHAnsi" w:hAnsiTheme="majorHAnsi"/>
                <w:b/>
                <w:sz w:val="24"/>
                <w:szCs w:val="24"/>
              </w:rPr>
            </w:pPr>
            <w:r w:rsidRPr="00082F7B">
              <w:rPr>
                <w:rFonts w:asciiTheme="majorHAnsi" w:hAnsiTheme="majorHAnsi" w:cs="Arial"/>
                <w:sz w:val="24"/>
                <w:szCs w:val="24"/>
              </w:rPr>
              <w:t>UKUPNO</w:t>
            </w:r>
          </w:p>
        </w:tc>
        <w:tc>
          <w:tcPr>
            <w:tcW w:w="2289" w:type="dxa"/>
          </w:tcPr>
          <w:p w14:paraId="0A4AE44B"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270.000</w:t>
            </w:r>
          </w:p>
        </w:tc>
        <w:tc>
          <w:tcPr>
            <w:tcW w:w="2410" w:type="dxa"/>
          </w:tcPr>
          <w:p w14:paraId="7624DA99"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131.935,84</w:t>
            </w:r>
          </w:p>
        </w:tc>
        <w:tc>
          <w:tcPr>
            <w:tcW w:w="2410" w:type="dxa"/>
          </w:tcPr>
          <w:p w14:paraId="7EE3191D" w14:textId="77777777" w:rsidR="00266CEB" w:rsidRPr="00082F7B" w:rsidRDefault="00266CEB" w:rsidP="00266CEB">
            <w:pPr>
              <w:spacing w:after="120"/>
              <w:jc w:val="center"/>
              <w:rPr>
                <w:rFonts w:asciiTheme="majorHAnsi" w:hAnsiTheme="majorHAnsi"/>
                <w:sz w:val="24"/>
                <w:szCs w:val="24"/>
              </w:rPr>
            </w:pPr>
            <w:r w:rsidRPr="00082F7B">
              <w:rPr>
                <w:rFonts w:asciiTheme="majorHAnsi" w:hAnsiTheme="majorHAnsi"/>
                <w:sz w:val="24"/>
                <w:szCs w:val="24"/>
              </w:rPr>
              <w:t>48,86</w:t>
            </w:r>
          </w:p>
        </w:tc>
      </w:tr>
    </w:tbl>
    <w:p w14:paraId="248D6FBE" w14:textId="77777777" w:rsidR="00266CEB" w:rsidRPr="00082F7B" w:rsidRDefault="00266CEB" w:rsidP="00F76911">
      <w:pPr>
        <w:spacing w:after="0" w:line="240" w:lineRule="auto"/>
        <w:jc w:val="both"/>
        <w:rPr>
          <w:rFonts w:asciiTheme="majorHAnsi" w:eastAsia="Calibri" w:hAnsiTheme="majorHAnsi" w:cstheme="minorHAnsi"/>
          <w:sz w:val="24"/>
          <w:szCs w:val="24"/>
        </w:rPr>
      </w:pPr>
    </w:p>
    <w:p w14:paraId="64AA2546" w14:textId="10011BB2" w:rsidR="00266CEB" w:rsidRPr="00082F7B" w:rsidRDefault="00266CEB" w:rsidP="00266CEB">
      <w:pPr>
        <w:spacing w:after="0" w:line="240" w:lineRule="auto"/>
        <w:jc w:val="both"/>
        <w:rPr>
          <w:rFonts w:asciiTheme="majorHAnsi" w:eastAsia="Calibri" w:hAnsiTheme="majorHAnsi" w:cstheme="minorHAnsi"/>
          <w:sz w:val="24"/>
          <w:szCs w:val="24"/>
        </w:rPr>
      </w:pPr>
      <w:r w:rsidRPr="00082F7B">
        <w:rPr>
          <w:rFonts w:asciiTheme="majorHAnsi" w:eastAsia="Calibri" w:hAnsiTheme="majorHAnsi" w:cstheme="minorHAnsi"/>
          <w:sz w:val="24"/>
          <w:szCs w:val="24"/>
        </w:rPr>
        <w:lastRenderedPageBreak/>
        <w:t xml:space="preserve">S obzirom na utvrđene rezerve i prethodnu prosječnu devetogodišnju proizvodnju predloženi kapacitet proizvodnje će </w:t>
      </w:r>
      <w:r w:rsidR="00F10732" w:rsidRPr="00082F7B">
        <w:rPr>
          <w:rFonts w:asciiTheme="majorHAnsi" w:eastAsia="Calibri" w:hAnsiTheme="majorHAnsi" w:cstheme="minorHAnsi"/>
          <w:sz w:val="24"/>
          <w:szCs w:val="24"/>
        </w:rPr>
        <w:t>iznositi</w:t>
      </w:r>
      <w:r w:rsidRPr="00082F7B">
        <w:rPr>
          <w:rFonts w:asciiTheme="majorHAnsi" w:eastAsia="Calibri" w:hAnsiTheme="majorHAnsi" w:cstheme="minorHAnsi"/>
          <w:sz w:val="24"/>
          <w:szCs w:val="24"/>
        </w:rPr>
        <w:t xml:space="preserve"> </w:t>
      </w:r>
      <w:r w:rsidRPr="00082F7B">
        <w:rPr>
          <w:rFonts w:asciiTheme="majorHAnsi" w:eastAsia="Times New Roman" w:hAnsiTheme="majorHAnsi" w:cstheme="minorHAnsi"/>
          <w:b/>
          <w:sz w:val="24"/>
          <w:szCs w:val="24"/>
          <w:lang w:val="sr-Latn-CS"/>
        </w:rPr>
        <w:t>1</w:t>
      </w:r>
      <w:r w:rsidR="009F02D2" w:rsidRPr="00082F7B">
        <w:rPr>
          <w:rFonts w:asciiTheme="majorHAnsi" w:eastAsia="Times New Roman" w:hAnsiTheme="majorHAnsi" w:cstheme="minorHAnsi"/>
          <w:b/>
          <w:sz w:val="24"/>
          <w:szCs w:val="24"/>
          <w:lang w:val="sr-Latn-CS"/>
        </w:rPr>
        <w:t>4</w:t>
      </w:r>
      <w:r w:rsidRPr="00082F7B">
        <w:rPr>
          <w:rFonts w:asciiTheme="majorHAnsi" w:eastAsia="Times New Roman" w:hAnsiTheme="majorHAnsi" w:cstheme="minorHAnsi"/>
          <w:b/>
          <w:sz w:val="24"/>
          <w:szCs w:val="24"/>
          <w:lang w:val="sr-Latn-CS"/>
        </w:rPr>
        <w:t>.000 m</w:t>
      </w:r>
      <w:r w:rsidRPr="00082F7B">
        <w:rPr>
          <w:rFonts w:asciiTheme="majorHAnsi" w:eastAsia="Times New Roman" w:hAnsiTheme="majorHAnsi" w:cstheme="minorHAnsi"/>
          <w:b/>
          <w:sz w:val="24"/>
          <w:szCs w:val="24"/>
          <w:vertAlign w:val="superscript"/>
          <w:lang w:val="sr-Latn-CS"/>
        </w:rPr>
        <w:t>3</w:t>
      </w:r>
      <w:r w:rsidRPr="00082F7B">
        <w:rPr>
          <w:rFonts w:asciiTheme="majorHAnsi" w:eastAsia="Calibri" w:hAnsiTheme="majorHAnsi" w:cstheme="minorHAnsi"/>
          <w:sz w:val="24"/>
          <w:szCs w:val="24"/>
        </w:rPr>
        <w:t xml:space="preserve">. </w:t>
      </w:r>
    </w:p>
    <w:p w14:paraId="610492FB" w14:textId="77777777" w:rsidR="00266CEB" w:rsidRPr="00082F7B" w:rsidRDefault="00266CEB" w:rsidP="00F76911">
      <w:pPr>
        <w:spacing w:after="0" w:line="240" w:lineRule="auto"/>
        <w:jc w:val="both"/>
        <w:rPr>
          <w:rFonts w:asciiTheme="majorHAnsi" w:eastAsia="Calibri" w:hAnsiTheme="majorHAnsi" w:cstheme="minorHAnsi"/>
          <w:sz w:val="24"/>
          <w:szCs w:val="24"/>
        </w:rPr>
      </w:pPr>
    </w:p>
    <w:p w14:paraId="0787818D" w14:textId="77777777" w:rsidR="00266CEB" w:rsidRPr="00082F7B" w:rsidRDefault="00266CEB" w:rsidP="00F76911">
      <w:pPr>
        <w:spacing w:after="0" w:line="240" w:lineRule="auto"/>
        <w:jc w:val="both"/>
        <w:rPr>
          <w:rFonts w:asciiTheme="majorHAnsi" w:eastAsia="Calibri" w:hAnsiTheme="majorHAnsi" w:cstheme="minorHAnsi"/>
          <w:sz w:val="24"/>
          <w:szCs w:val="24"/>
        </w:rPr>
      </w:pPr>
    </w:p>
    <w:p w14:paraId="2A105D3D" w14:textId="781492F4" w:rsidR="00F653C8" w:rsidRPr="00082F7B" w:rsidRDefault="00F653C8" w:rsidP="00266CEB">
      <w:pPr>
        <w:pStyle w:val="Heading2"/>
        <w:rPr>
          <w:rFonts w:asciiTheme="majorHAnsi" w:hAnsiTheme="majorHAnsi"/>
          <w:szCs w:val="24"/>
        </w:rPr>
      </w:pPr>
      <w:bookmarkStart w:id="44" w:name="_Toc402262938"/>
      <w:bookmarkStart w:id="45" w:name="_Toc459633532"/>
      <w:r w:rsidRPr="00082F7B">
        <w:rPr>
          <w:rFonts w:asciiTheme="majorHAnsi" w:hAnsiTheme="majorHAnsi"/>
          <w:szCs w:val="24"/>
        </w:rPr>
        <w:t>Opis tehničko-tehnološkog procesa eksploatacije</w:t>
      </w:r>
      <w:bookmarkEnd w:id="44"/>
      <w:bookmarkEnd w:id="45"/>
    </w:p>
    <w:p w14:paraId="50D5C533" w14:textId="77777777" w:rsidR="00F653C8" w:rsidRPr="00082F7B" w:rsidRDefault="00F653C8" w:rsidP="00420CFA">
      <w:pPr>
        <w:shd w:val="clear" w:color="auto" w:fill="FFFFFF" w:themeFill="background1"/>
        <w:spacing w:after="0" w:line="240" w:lineRule="auto"/>
        <w:rPr>
          <w:rFonts w:asciiTheme="majorHAnsi" w:hAnsiTheme="majorHAnsi"/>
          <w:sz w:val="24"/>
          <w:szCs w:val="24"/>
        </w:rPr>
      </w:pPr>
    </w:p>
    <w:p w14:paraId="33FB1FC7" w14:textId="350B0AC0" w:rsidR="00F653C8" w:rsidRPr="00082F7B" w:rsidRDefault="009F02D2"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Na ovom ležištu</w:t>
      </w:r>
      <w:r w:rsidR="00F653C8" w:rsidRPr="00082F7B">
        <w:rPr>
          <w:rFonts w:asciiTheme="majorHAnsi" w:hAnsiTheme="majorHAnsi"/>
          <w:color w:val="auto"/>
        </w:rPr>
        <w:t xml:space="preserve"> </w:t>
      </w:r>
      <w:r w:rsidR="00A24068" w:rsidRPr="00082F7B">
        <w:rPr>
          <w:rFonts w:asciiTheme="majorHAnsi" w:hAnsiTheme="majorHAnsi"/>
          <w:color w:val="auto"/>
        </w:rPr>
        <w:t>postoji otvoren površinski kop koji je u radu duži niz godina, uz primje</w:t>
      </w:r>
      <w:r w:rsidRPr="00082F7B">
        <w:rPr>
          <w:rFonts w:asciiTheme="majorHAnsi" w:hAnsiTheme="majorHAnsi"/>
          <w:color w:val="auto"/>
        </w:rPr>
        <w:t>nu klasične tehnologije</w:t>
      </w:r>
      <w:r w:rsidR="00A24068" w:rsidRPr="00082F7B">
        <w:rPr>
          <w:rFonts w:asciiTheme="majorHAnsi" w:hAnsiTheme="majorHAnsi"/>
          <w:color w:val="auto"/>
        </w:rPr>
        <w:t xml:space="preserve"> za</w:t>
      </w:r>
      <w:r w:rsidR="00F653C8" w:rsidRPr="00082F7B">
        <w:rPr>
          <w:rFonts w:asciiTheme="majorHAnsi" w:hAnsiTheme="majorHAnsi"/>
          <w:color w:val="auto"/>
        </w:rPr>
        <w:t xml:space="preserve"> eksploatacija tehničko-građevinskog kamena</w:t>
      </w:r>
      <w:r w:rsidR="00A24068" w:rsidRPr="00082F7B">
        <w:rPr>
          <w:rFonts w:asciiTheme="majorHAnsi" w:hAnsiTheme="majorHAnsi"/>
          <w:color w:val="auto"/>
        </w:rPr>
        <w:t>.</w:t>
      </w:r>
      <w:r w:rsidR="00D71DA9" w:rsidRPr="00082F7B">
        <w:rPr>
          <w:rFonts w:asciiTheme="majorHAnsi" w:hAnsiTheme="majorHAnsi"/>
          <w:color w:val="auto"/>
        </w:rPr>
        <w:t xml:space="preserve"> Površinski kop je brdskog tipa, </w:t>
      </w:r>
      <w:r w:rsidRPr="00082F7B">
        <w:rPr>
          <w:rFonts w:asciiTheme="majorHAnsi" w:hAnsiTheme="majorHAnsi"/>
          <w:color w:val="auto"/>
        </w:rPr>
        <w:t>a eksploatacija se</w:t>
      </w:r>
      <w:r w:rsidR="00A24068" w:rsidRPr="00082F7B">
        <w:rPr>
          <w:rFonts w:asciiTheme="majorHAnsi" w:hAnsiTheme="majorHAnsi"/>
          <w:color w:val="auto"/>
        </w:rPr>
        <w:t xml:space="preserve"> vrši</w:t>
      </w:r>
      <w:r w:rsidR="00F653C8" w:rsidRPr="00082F7B">
        <w:rPr>
          <w:rFonts w:asciiTheme="majorHAnsi" w:hAnsiTheme="majorHAnsi"/>
          <w:color w:val="auto"/>
        </w:rPr>
        <w:t xml:space="preserve"> od najvisočije etaže prema najnižoj.</w:t>
      </w:r>
      <w:r w:rsidR="00A43667" w:rsidRPr="00082F7B">
        <w:rPr>
          <w:rFonts w:asciiTheme="majorHAnsi" w:hAnsiTheme="majorHAnsi"/>
          <w:color w:val="auto"/>
        </w:rPr>
        <w:t xml:space="preserve"> Fond radnog vremena zbog nepovoljnih klimatskih uslova treba računati na devet mjeseci.</w:t>
      </w:r>
    </w:p>
    <w:p w14:paraId="43FEDE7F" w14:textId="77777777" w:rsidR="00D71DA9" w:rsidRPr="00082F7B" w:rsidRDefault="00D71DA9" w:rsidP="00D71DA9">
      <w:pPr>
        <w:pStyle w:val="Default"/>
        <w:shd w:val="clear" w:color="auto" w:fill="FFFFFF" w:themeFill="background1"/>
        <w:jc w:val="both"/>
        <w:rPr>
          <w:rFonts w:asciiTheme="majorHAnsi" w:hAnsiTheme="majorHAnsi"/>
          <w:color w:val="auto"/>
        </w:rPr>
      </w:pPr>
    </w:p>
    <w:p w14:paraId="23AA99BC" w14:textId="77777777"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 xml:space="preserve">Tehnološki proces rada na površinskom kopu sastoji se od radnih operacija: </w:t>
      </w:r>
    </w:p>
    <w:p w14:paraId="62D894D7" w14:textId="77777777" w:rsidR="00F653C8" w:rsidRPr="00082F7B" w:rsidRDefault="00F653C8" w:rsidP="00266CEB">
      <w:pPr>
        <w:pStyle w:val="Default"/>
        <w:numPr>
          <w:ilvl w:val="0"/>
          <w:numId w:val="14"/>
        </w:numPr>
        <w:shd w:val="clear" w:color="auto" w:fill="FFFFFF" w:themeFill="background1"/>
        <w:spacing w:after="30"/>
        <w:rPr>
          <w:rFonts w:asciiTheme="majorHAnsi" w:hAnsiTheme="majorHAnsi"/>
          <w:color w:val="auto"/>
        </w:rPr>
      </w:pPr>
      <w:r w:rsidRPr="00082F7B">
        <w:rPr>
          <w:rFonts w:asciiTheme="majorHAnsi" w:hAnsiTheme="majorHAnsi"/>
          <w:color w:val="auto"/>
        </w:rPr>
        <w:t xml:space="preserve">pripremni radovi, </w:t>
      </w:r>
    </w:p>
    <w:p w14:paraId="29D2EA40" w14:textId="77777777" w:rsidR="00F653C8" w:rsidRPr="00082F7B" w:rsidRDefault="00F653C8" w:rsidP="00266CEB">
      <w:pPr>
        <w:pStyle w:val="Default"/>
        <w:numPr>
          <w:ilvl w:val="0"/>
          <w:numId w:val="14"/>
        </w:numPr>
        <w:shd w:val="clear" w:color="auto" w:fill="FFFFFF" w:themeFill="background1"/>
        <w:spacing w:after="30"/>
        <w:rPr>
          <w:rFonts w:asciiTheme="majorHAnsi" w:hAnsiTheme="majorHAnsi"/>
          <w:color w:val="auto"/>
        </w:rPr>
      </w:pPr>
      <w:r w:rsidRPr="00082F7B">
        <w:rPr>
          <w:rFonts w:asciiTheme="majorHAnsi" w:hAnsiTheme="majorHAnsi"/>
          <w:color w:val="auto"/>
        </w:rPr>
        <w:t xml:space="preserve">bušenje, </w:t>
      </w:r>
    </w:p>
    <w:p w14:paraId="1B71738B" w14:textId="77777777" w:rsidR="00F653C8" w:rsidRPr="00082F7B" w:rsidRDefault="00F653C8" w:rsidP="00266CEB">
      <w:pPr>
        <w:pStyle w:val="Default"/>
        <w:numPr>
          <w:ilvl w:val="0"/>
          <w:numId w:val="14"/>
        </w:numPr>
        <w:shd w:val="clear" w:color="auto" w:fill="FFFFFF" w:themeFill="background1"/>
        <w:spacing w:after="30"/>
        <w:rPr>
          <w:rFonts w:asciiTheme="majorHAnsi" w:hAnsiTheme="majorHAnsi"/>
          <w:color w:val="auto"/>
        </w:rPr>
      </w:pPr>
      <w:r w:rsidRPr="00082F7B">
        <w:rPr>
          <w:rFonts w:asciiTheme="majorHAnsi" w:hAnsiTheme="majorHAnsi"/>
          <w:color w:val="auto"/>
        </w:rPr>
        <w:t xml:space="preserve">miniranje, </w:t>
      </w:r>
    </w:p>
    <w:p w14:paraId="6A6A4A40" w14:textId="77777777" w:rsidR="00F653C8" w:rsidRPr="00082F7B" w:rsidRDefault="00F653C8" w:rsidP="00266CEB">
      <w:pPr>
        <w:pStyle w:val="Default"/>
        <w:numPr>
          <w:ilvl w:val="0"/>
          <w:numId w:val="14"/>
        </w:numPr>
        <w:shd w:val="clear" w:color="auto" w:fill="FFFFFF" w:themeFill="background1"/>
        <w:spacing w:after="30"/>
        <w:rPr>
          <w:rFonts w:asciiTheme="majorHAnsi" w:hAnsiTheme="majorHAnsi"/>
          <w:color w:val="auto"/>
        </w:rPr>
      </w:pPr>
      <w:r w:rsidRPr="00082F7B">
        <w:rPr>
          <w:rFonts w:asciiTheme="majorHAnsi" w:hAnsiTheme="majorHAnsi"/>
          <w:color w:val="auto"/>
        </w:rPr>
        <w:t xml:space="preserve">utovar, </w:t>
      </w:r>
    </w:p>
    <w:p w14:paraId="0AAF6048" w14:textId="77777777" w:rsidR="00F653C8" w:rsidRPr="00082F7B" w:rsidRDefault="00F653C8" w:rsidP="00266CEB">
      <w:pPr>
        <w:pStyle w:val="Default"/>
        <w:numPr>
          <w:ilvl w:val="0"/>
          <w:numId w:val="14"/>
        </w:numPr>
        <w:shd w:val="clear" w:color="auto" w:fill="FFFFFF" w:themeFill="background1"/>
        <w:spacing w:after="30"/>
        <w:rPr>
          <w:rFonts w:asciiTheme="majorHAnsi" w:hAnsiTheme="majorHAnsi"/>
          <w:color w:val="auto"/>
        </w:rPr>
      </w:pPr>
      <w:r w:rsidRPr="00082F7B">
        <w:rPr>
          <w:rFonts w:asciiTheme="majorHAnsi" w:hAnsiTheme="majorHAnsi"/>
          <w:color w:val="auto"/>
        </w:rPr>
        <w:t xml:space="preserve">transport, </w:t>
      </w:r>
    </w:p>
    <w:p w14:paraId="050D5445" w14:textId="77777777" w:rsidR="00F653C8" w:rsidRPr="00082F7B" w:rsidRDefault="00F653C8" w:rsidP="00266CEB">
      <w:pPr>
        <w:pStyle w:val="Default"/>
        <w:numPr>
          <w:ilvl w:val="0"/>
          <w:numId w:val="14"/>
        </w:numPr>
        <w:shd w:val="clear" w:color="auto" w:fill="FFFFFF" w:themeFill="background1"/>
        <w:rPr>
          <w:rFonts w:asciiTheme="majorHAnsi" w:hAnsiTheme="majorHAnsi"/>
          <w:color w:val="auto"/>
        </w:rPr>
      </w:pPr>
      <w:r w:rsidRPr="00082F7B">
        <w:rPr>
          <w:rFonts w:asciiTheme="majorHAnsi" w:hAnsiTheme="majorHAnsi"/>
          <w:color w:val="auto"/>
        </w:rPr>
        <w:t xml:space="preserve">drobljenje i klasiranje. </w:t>
      </w:r>
    </w:p>
    <w:p w14:paraId="6B6691B0" w14:textId="77777777" w:rsidR="00F653C8" w:rsidRPr="00082F7B" w:rsidRDefault="00F653C8" w:rsidP="00420CFA">
      <w:pPr>
        <w:pStyle w:val="Default"/>
        <w:shd w:val="clear" w:color="auto" w:fill="FFFFFF" w:themeFill="background1"/>
        <w:rPr>
          <w:rFonts w:asciiTheme="majorHAnsi" w:hAnsiTheme="majorHAnsi"/>
          <w:color w:val="auto"/>
        </w:rPr>
      </w:pPr>
    </w:p>
    <w:p w14:paraId="58EFF6BC" w14:textId="77777777"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Pripremni radovi</w:t>
      </w:r>
    </w:p>
    <w:p w14:paraId="08D9766C" w14:textId="77777777" w:rsidR="00F653C8" w:rsidRPr="00082F7B" w:rsidRDefault="00F653C8" w:rsidP="00D71DA9">
      <w:pPr>
        <w:pStyle w:val="Default"/>
        <w:shd w:val="clear" w:color="auto" w:fill="FFFFFF" w:themeFill="background1"/>
        <w:ind w:left="720"/>
        <w:jc w:val="both"/>
        <w:rPr>
          <w:rFonts w:asciiTheme="majorHAnsi" w:hAnsiTheme="majorHAnsi"/>
          <w:color w:val="auto"/>
        </w:rPr>
      </w:pPr>
    </w:p>
    <w:p w14:paraId="19A0C4D5" w14:textId="77777777"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Pripremni radovi obuhvataju čišćenje i ravnanje terena, čišćenje etažnih ravni i pripremu istih za potrebe bušenja, miniranja i druge pomoćne radove. Pripremni radovi izvo</w:t>
      </w:r>
      <w:r w:rsidR="00A24068" w:rsidRPr="00082F7B">
        <w:rPr>
          <w:rFonts w:asciiTheme="majorHAnsi" w:hAnsiTheme="majorHAnsi"/>
          <w:color w:val="auto"/>
        </w:rPr>
        <w:t>diće se bagerom koji radi na utovaru.</w:t>
      </w:r>
    </w:p>
    <w:p w14:paraId="47ABF0AD" w14:textId="77777777" w:rsidR="00F653C8" w:rsidRPr="00082F7B" w:rsidRDefault="00F653C8" w:rsidP="00420CFA">
      <w:pPr>
        <w:pStyle w:val="Default"/>
        <w:shd w:val="clear" w:color="auto" w:fill="FFFFFF" w:themeFill="background1"/>
        <w:rPr>
          <w:rFonts w:asciiTheme="majorHAnsi" w:hAnsiTheme="majorHAnsi"/>
          <w:color w:val="auto"/>
        </w:rPr>
      </w:pPr>
    </w:p>
    <w:p w14:paraId="2A3CF9C3" w14:textId="77777777"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 xml:space="preserve">Bušenje </w:t>
      </w:r>
    </w:p>
    <w:p w14:paraId="00466A50" w14:textId="77777777" w:rsidR="00F653C8" w:rsidRPr="00082F7B" w:rsidRDefault="00F653C8" w:rsidP="00420CFA">
      <w:pPr>
        <w:pStyle w:val="Default"/>
        <w:shd w:val="clear" w:color="auto" w:fill="FFFFFF" w:themeFill="background1"/>
        <w:ind w:left="720"/>
        <w:rPr>
          <w:rFonts w:asciiTheme="majorHAnsi" w:hAnsiTheme="majorHAnsi"/>
          <w:color w:val="auto"/>
        </w:rPr>
      </w:pPr>
    </w:p>
    <w:p w14:paraId="28692295" w14:textId="7F07B7C7"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Bušenje minskih bušotina vršilo bi se sa udarnoro-t</w:t>
      </w:r>
      <w:r w:rsidR="009F02D2" w:rsidRPr="00082F7B">
        <w:rPr>
          <w:rFonts w:asciiTheme="majorHAnsi" w:hAnsiTheme="majorHAnsi"/>
          <w:color w:val="auto"/>
        </w:rPr>
        <w:t>acionom bušilicom prečnika</w:t>
      </w:r>
      <w:r w:rsidR="00A24068" w:rsidRPr="00082F7B">
        <w:rPr>
          <w:rFonts w:asciiTheme="majorHAnsi" w:hAnsiTheme="majorHAnsi"/>
          <w:color w:val="auto"/>
        </w:rPr>
        <w:t xml:space="preserve"> Ø 89</w:t>
      </w:r>
      <w:r w:rsidRPr="00082F7B">
        <w:rPr>
          <w:rFonts w:asciiTheme="majorHAnsi" w:hAnsiTheme="majorHAnsi"/>
          <w:color w:val="auto"/>
        </w:rPr>
        <w:t xml:space="preserve"> mm. </w:t>
      </w:r>
    </w:p>
    <w:p w14:paraId="6460655A" w14:textId="77777777" w:rsidR="00F653C8" w:rsidRPr="00082F7B" w:rsidRDefault="00F653C8" w:rsidP="00420CFA">
      <w:pPr>
        <w:pStyle w:val="Default"/>
        <w:shd w:val="clear" w:color="auto" w:fill="FFFFFF" w:themeFill="background1"/>
        <w:rPr>
          <w:rFonts w:asciiTheme="majorHAnsi" w:hAnsiTheme="majorHAnsi"/>
          <w:color w:val="auto"/>
        </w:rPr>
      </w:pPr>
    </w:p>
    <w:p w14:paraId="611D10E6" w14:textId="599ED574"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Miniranje</w:t>
      </w:r>
    </w:p>
    <w:p w14:paraId="331E3447" w14:textId="77777777" w:rsidR="00F653C8" w:rsidRPr="00082F7B" w:rsidRDefault="00F653C8" w:rsidP="00420CFA">
      <w:pPr>
        <w:pStyle w:val="Default"/>
        <w:shd w:val="clear" w:color="auto" w:fill="FFFFFF" w:themeFill="background1"/>
        <w:ind w:left="360"/>
        <w:rPr>
          <w:rFonts w:asciiTheme="majorHAnsi" w:hAnsiTheme="majorHAnsi"/>
          <w:color w:val="auto"/>
        </w:rPr>
      </w:pPr>
    </w:p>
    <w:p w14:paraId="28C850C6" w14:textId="4CC775AC"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Miniranj</w:t>
      </w:r>
      <w:r w:rsidR="009F02D2" w:rsidRPr="00082F7B">
        <w:rPr>
          <w:rFonts w:asciiTheme="majorHAnsi" w:hAnsiTheme="majorHAnsi"/>
          <w:color w:val="auto"/>
        </w:rPr>
        <w:t>e krečnjaka</w:t>
      </w:r>
      <w:r w:rsidRPr="00082F7B">
        <w:rPr>
          <w:rFonts w:asciiTheme="majorHAnsi" w:hAnsiTheme="majorHAnsi"/>
          <w:color w:val="auto"/>
        </w:rPr>
        <w:t xml:space="preserve"> vršilo bi se praškastim ek</w:t>
      </w:r>
      <w:r w:rsidR="00A24068" w:rsidRPr="00082F7B">
        <w:rPr>
          <w:rFonts w:asciiTheme="majorHAnsi" w:hAnsiTheme="majorHAnsi"/>
          <w:color w:val="auto"/>
        </w:rPr>
        <w:t>splozivom, prečnika patrone Ø 70</w:t>
      </w:r>
      <w:r w:rsidRPr="00082F7B">
        <w:rPr>
          <w:rFonts w:asciiTheme="majorHAnsi" w:hAnsiTheme="majorHAnsi"/>
          <w:color w:val="auto"/>
        </w:rPr>
        <w:t xml:space="preserve">mm. </w:t>
      </w:r>
    </w:p>
    <w:p w14:paraId="27CF92A0" w14:textId="77777777" w:rsidR="00F653C8" w:rsidRPr="00082F7B" w:rsidRDefault="00F653C8" w:rsidP="00420CFA">
      <w:pPr>
        <w:pStyle w:val="Default"/>
        <w:shd w:val="clear" w:color="auto" w:fill="FFFFFF" w:themeFill="background1"/>
        <w:rPr>
          <w:rFonts w:asciiTheme="majorHAnsi" w:hAnsiTheme="majorHAnsi"/>
          <w:color w:val="auto"/>
        </w:rPr>
      </w:pPr>
      <w:r w:rsidRPr="00082F7B">
        <w:rPr>
          <w:rFonts w:asciiTheme="majorHAnsi" w:hAnsiTheme="majorHAnsi"/>
          <w:color w:val="auto"/>
        </w:rPr>
        <w:t xml:space="preserve">              </w:t>
      </w:r>
    </w:p>
    <w:p w14:paraId="6138BDAB" w14:textId="3D6FB389"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Utovar</w:t>
      </w:r>
    </w:p>
    <w:p w14:paraId="58D13624" w14:textId="77777777" w:rsidR="00F653C8" w:rsidRPr="00082F7B" w:rsidRDefault="00F653C8" w:rsidP="00420CFA">
      <w:pPr>
        <w:pStyle w:val="Default"/>
        <w:shd w:val="clear" w:color="auto" w:fill="FFFFFF" w:themeFill="background1"/>
        <w:rPr>
          <w:rFonts w:asciiTheme="majorHAnsi" w:hAnsiTheme="majorHAnsi"/>
          <w:color w:val="auto"/>
        </w:rPr>
      </w:pPr>
    </w:p>
    <w:p w14:paraId="6D16E7EE" w14:textId="77777777"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Utovar odminiranog krečnjaka vršio bi se bagerom kašikarom, zapremine kašike od 1,5 m</w:t>
      </w:r>
      <w:r w:rsidRPr="00082F7B">
        <w:rPr>
          <w:rFonts w:asciiTheme="majorHAnsi" w:hAnsiTheme="majorHAnsi"/>
          <w:color w:val="auto"/>
          <w:vertAlign w:val="superscript"/>
        </w:rPr>
        <w:t>3</w:t>
      </w:r>
      <w:r w:rsidRPr="00082F7B">
        <w:rPr>
          <w:rFonts w:asciiTheme="majorHAnsi" w:hAnsiTheme="majorHAnsi"/>
          <w:color w:val="auto"/>
        </w:rPr>
        <w:t>,a utovar gotovog proizvoda utovarivačem zapremine korpe 3m</w:t>
      </w:r>
      <w:r w:rsidRPr="00082F7B">
        <w:rPr>
          <w:rFonts w:asciiTheme="majorHAnsi" w:hAnsiTheme="majorHAnsi"/>
          <w:color w:val="auto"/>
          <w:vertAlign w:val="superscript"/>
        </w:rPr>
        <w:t>3</w:t>
      </w:r>
    </w:p>
    <w:p w14:paraId="22CC8209" w14:textId="77777777" w:rsidR="00F653C8" w:rsidRPr="00082F7B" w:rsidRDefault="00F653C8" w:rsidP="00420CFA">
      <w:pPr>
        <w:pStyle w:val="Default"/>
        <w:shd w:val="clear" w:color="auto" w:fill="FFFFFF" w:themeFill="background1"/>
        <w:rPr>
          <w:rFonts w:asciiTheme="majorHAnsi" w:hAnsiTheme="majorHAnsi"/>
          <w:color w:val="auto"/>
        </w:rPr>
      </w:pPr>
      <w:r w:rsidRPr="00082F7B">
        <w:rPr>
          <w:rFonts w:asciiTheme="majorHAnsi" w:hAnsiTheme="majorHAnsi"/>
          <w:color w:val="auto"/>
        </w:rPr>
        <w:t xml:space="preserve"> </w:t>
      </w:r>
    </w:p>
    <w:p w14:paraId="1AA54E64" w14:textId="44888453"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 xml:space="preserve">Transport </w:t>
      </w:r>
    </w:p>
    <w:p w14:paraId="52BD11DE" w14:textId="77777777" w:rsidR="00F653C8" w:rsidRPr="00082F7B" w:rsidRDefault="00F653C8" w:rsidP="00420CFA">
      <w:pPr>
        <w:pStyle w:val="Default"/>
        <w:shd w:val="clear" w:color="auto" w:fill="FFFFFF" w:themeFill="background1"/>
        <w:rPr>
          <w:rFonts w:asciiTheme="majorHAnsi" w:hAnsiTheme="majorHAnsi"/>
          <w:color w:val="auto"/>
        </w:rPr>
      </w:pPr>
    </w:p>
    <w:p w14:paraId="3A634CB0" w14:textId="19508A41"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lastRenderedPageBreak/>
        <w:t>Transport kreč</w:t>
      </w:r>
      <w:r w:rsidR="00F10732" w:rsidRPr="00082F7B">
        <w:rPr>
          <w:rFonts w:asciiTheme="majorHAnsi" w:hAnsiTheme="majorHAnsi"/>
          <w:color w:val="auto"/>
        </w:rPr>
        <w:t>njaka do drobiličnog postojenja</w:t>
      </w:r>
      <w:r w:rsidRPr="00082F7B">
        <w:rPr>
          <w:rFonts w:asciiTheme="majorHAnsi" w:hAnsiTheme="majorHAnsi"/>
          <w:color w:val="auto"/>
        </w:rPr>
        <w:t xml:space="preserve"> obavljati će se kamionima zapremine sanduka od 12 m</w:t>
      </w:r>
      <w:r w:rsidRPr="00082F7B">
        <w:rPr>
          <w:rFonts w:asciiTheme="majorHAnsi" w:hAnsiTheme="majorHAnsi"/>
          <w:color w:val="auto"/>
          <w:vertAlign w:val="superscript"/>
        </w:rPr>
        <w:t>3</w:t>
      </w:r>
      <w:r w:rsidRPr="00082F7B">
        <w:rPr>
          <w:rFonts w:asciiTheme="majorHAnsi" w:hAnsiTheme="majorHAnsi"/>
          <w:color w:val="auto"/>
        </w:rPr>
        <w:t xml:space="preserve">. </w:t>
      </w:r>
    </w:p>
    <w:p w14:paraId="0E81CA04" w14:textId="77777777" w:rsidR="00937C4A" w:rsidRPr="00082F7B" w:rsidRDefault="00F653C8" w:rsidP="00420CFA">
      <w:pPr>
        <w:pStyle w:val="Default"/>
        <w:shd w:val="clear" w:color="auto" w:fill="FFFFFF" w:themeFill="background1"/>
        <w:rPr>
          <w:rFonts w:asciiTheme="majorHAnsi" w:hAnsiTheme="majorHAnsi"/>
          <w:color w:val="auto"/>
        </w:rPr>
      </w:pPr>
      <w:r w:rsidRPr="00082F7B">
        <w:rPr>
          <w:rFonts w:asciiTheme="majorHAnsi" w:hAnsiTheme="majorHAnsi"/>
          <w:color w:val="auto"/>
        </w:rPr>
        <w:t xml:space="preserve">        </w:t>
      </w:r>
    </w:p>
    <w:p w14:paraId="242FB945" w14:textId="12F87278" w:rsidR="00F653C8" w:rsidRPr="00082F7B" w:rsidRDefault="00F653C8" w:rsidP="00266CEB">
      <w:pPr>
        <w:pStyle w:val="Default"/>
        <w:numPr>
          <w:ilvl w:val="0"/>
          <w:numId w:val="20"/>
        </w:numPr>
        <w:shd w:val="clear" w:color="auto" w:fill="FFFFFF" w:themeFill="background1"/>
        <w:rPr>
          <w:rFonts w:asciiTheme="majorHAnsi" w:hAnsiTheme="majorHAnsi"/>
          <w:b/>
          <w:bCs/>
          <w:i/>
          <w:iCs/>
          <w:color w:val="auto"/>
        </w:rPr>
      </w:pPr>
      <w:r w:rsidRPr="00082F7B">
        <w:rPr>
          <w:rFonts w:asciiTheme="majorHAnsi" w:hAnsiTheme="majorHAnsi"/>
          <w:b/>
          <w:bCs/>
          <w:i/>
          <w:iCs/>
          <w:color w:val="auto"/>
        </w:rPr>
        <w:t xml:space="preserve">Drobljenje i klasiranje </w:t>
      </w:r>
    </w:p>
    <w:p w14:paraId="55E36049" w14:textId="77777777" w:rsidR="00F653C8" w:rsidRPr="00082F7B" w:rsidRDefault="00F653C8" w:rsidP="00420CFA">
      <w:pPr>
        <w:pStyle w:val="Default"/>
        <w:shd w:val="clear" w:color="auto" w:fill="FFFFFF" w:themeFill="background1"/>
        <w:rPr>
          <w:rFonts w:asciiTheme="majorHAnsi" w:hAnsiTheme="majorHAnsi"/>
          <w:color w:val="auto"/>
        </w:rPr>
      </w:pPr>
    </w:p>
    <w:p w14:paraId="0EF1B0A8" w14:textId="5C6DA0EF" w:rsidR="00F653C8" w:rsidRPr="00082F7B" w:rsidRDefault="00F653C8" w:rsidP="00D71DA9">
      <w:pPr>
        <w:pStyle w:val="Default"/>
        <w:shd w:val="clear" w:color="auto" w:fill="FFFFFF" w:themeFill="background1"/>
        <w:jc w:val="both"/>
        <w:rPr>
          <w:rFonts w:asciiTheme="majorHAnsi" w:hAnsiTheme="majorHAnsi"/>
          <w:color w:val="auto"/>
        </w:rPr>
      </w:pPr>
      <w:r w:rsidRPr="00082F7B">
        <w:rPr>
          <w:rFonts w:asciiTheme="majorHAnsi" w:hAnsiTheme="majorHAnsi"/>
          <w:color w:val="auto"/>
        </w:rPr>
        <w:t>Za dr</w:t>
      </w:r>
      <w:r w:rsidR="00F10732" w:rsidRPr="00082F7B">
        <w:rPr>
          <w:rFonts w:asciiTheme="majorHAnsi" w:hAnsiTheme="majorHAnsi"/>
          <w:color w:val="auto"/>
        </w:rPr>
        <w:t>obljenje materijala potrebno je</w:t>
      </w:r>
      <w:r w:rsidRPr="00082F7B">
        <w:rPr>
          <w:rFonts w:asciiTheme="majorHAnsi" w:hAnsiTheme="majorHAnsi"/>
          <w:color w:val="auto"/>
        </w:rPr>
        <w:t xml:space="preserve"> stabilno postrojenje kapaciteta od 15 m</w:t>
      </w:r>
      <w:r w:rsidRPr="00082F7B">
        <w:rPr>
          <w:rFonts w:asciiTheme="majorHAnsi" w:hAnsiTheme="majorHAnsi"/>
          <w:color w:val="auto"/>
          <w:vertAlign w:val="superscript"/>
        </w:rPr>
        <w:t>3</w:t>
      </w:r>
      <w:r w:rsidRPr="00082F7B">
        <w:rPr>
          <w:rFonts w:asciiTheme="majorHAnsi" w:hAnsiTheme="majorHAnsi"/>
          <w:color w:val="auto"/>
        </w:rPr>
        <w:t xml:space="preserve">/h. </w:t>
      </w:r>
    </w:p>
    <w:p w14:paraId="6912D23A" w14:textId="604C20C9" w:rsidR="00F653C8" w:rsidRPr="00082F7B" w:rsidRDefault="00F653C8" w:rsidP="00266CEB">
      <w:pPr>
        <w:pStyle w:val="Heading2"/>
        <w:numPr>
          <w:ilvl w:val="0"/>
          <w:numId w:val="20"/>
        </w:numPr>
        <w:shd w:val="clear" w:color="auto" w:fill="FFFFFF" w:themeFill="background1"/>
        <w:spacing w:line="240" w:lineRule="auto"/>
        <w:jc w:val="both"/>
        <w:rPr>
          <w:rFonts w:asciiTheme="majorHAnsi" w:hAnsiTheme="majorHAnsi" w:cstheme="minorHAnsi"/>
          <w:szCs w:val="24"/>
        </w:rPr>
      </w:pPr>
      <w:bookmarkStart w:id="46" w:name="_Toc402262939"/>
      <w:bookmarkStart w:id="47" w:name="_Toc459633533"/>
      <w:r w:rsidRPr="00082F7B">
        <w:rPr>
          <w:rFonts w:asciiTheme="majorHAnsi" w:hAnsiTheme="majorHAnsi" w:cstheme="minorHAnsi"/>
          <w:szCs w:val="24"/>
        </w:rPr>
        <w:t>Snabdijevanje električnom energijom, gorivom, vodom i eksplozivom i eksplozivnim sredstvima</w:t>
      </w:r>
      <w:bookmarkEnd w:id="46"/>
      <w:bookmarkEnd w:id="47"/>
    </w:p>
    <w:p w14:paraId="183BEF4E" w14:textId="3C68D1A3" w:rsidR="00BE4431" w:rsidRPr="00082F7B" w:rsidRDefault="00F653C8" w:rsidP="00266CEB">
      <w:pPr>
        <w:shd w:val="clear" w:color="auto" w:fill="FFFFFF" w:themeFill="background1"/>
        <w:spacing w:line="240" w:lineRule="auto"/>
        <w:jc w:val="both"/>
        <w:rPr>
          <w:rFonts w:asciiTheme="majorHAnsi" w:hAnsiTheme="majorHAnsi"/>
          <w:sz w:val="24"/>
          <w:szCs w:val="24"/>
        </w:rPr>
      </w:pPr>
      <w:r w:rsidRPr="00082F7B">
        <w:rPr>
          <w:rFonts w:asciiTheme="majorHAnsi" w:hAnsiTheme="majorHAnsi"/>
          <w:sz w:val="24"/>
          <w:szCs w:val="24"/>
        </w:rPr>
        <w:t>Snabdijevanje električnom energijom je sa postojeće traf</w:t>
      </w:r>
      <w:r w:rsidR="00A24068" w:rsidRPr="00082F7B">
        <w:rPr>
          <w:rFonts w:asciiTheme="majorHAnsi" w:hAnsiTheme="majorHAnsi"/>
          <w:sz w:val="24"/>
          <w:szCs w:val="24"/>
        </w:rPr>
        <w:t>ostanice, vodom iz</w:t>
      </w:r>
      <w:r w:rsidR="00AF620A" w:rsidRPr="00082F7B">
        <w:rPr>
          <w:rFonts w:asciiTheme="majorHAnsi" w:hAnsiTheme="majorHAnsi"/>
          <w:sz w:val="24"/>
          <w:szCs w:val="24"/>
        </w:rPr>
        <w:t xml:space="preserve"> rezervoara za vodu</w:t>
      </w:r>
      <w:r w:rsidRPr="00082F7B">
        <w:rPr>
          <w:rFonts w:asciiTheme="majorHAnsi" w:hAnsiTheme="majorHAnsi"/>
          <w:sz w:val="24"/>
          <w:szCs w:val="24"/>
        </w:rPr>
        <w:t>,</w:t>
      </w:r>
      <w:r w:rsidR="00F10732" w:rsidRPr="00082F7B">
        <w:rPr>
          <w:rFonts w:asciiTheme="majorHAnsi" w:hAnsiTheme="majorHAnsi"/>
          <w:sz w:val="24"/>
          <w:szCs w:val="24"/>
        </w:rPr>
        <w:t xml:space="preserve"> </w:t>
      </w:r>
      <w:r w:rsidRPr="00082F7B">
        <w:rPr>
          <w:rFonts w:asciiTheme="majorHAnsi" w:hAnsiTheme="majorHAnsi"/>
          <w:sz w:val="24"/>
          <w:szCs w:val="24"/>
        </w:rPr>
        <w:t xml:space="preserve">a eksplozivom i </w:t>
      </w:r>
      <w:r w:rsidR="00A24068" w:rsidRPr="00082F7B">
        <w:rPr>
          <w:rFonts w:asciiTheme="majorHAnsi" w:hAnsiTheme="majorHAnsi"/>
          <w:sz w:val="24"/>
          <w:szCs w:val="24"/>
        </w:rPr>
        <w:t xml:space="preserve"> </w:t>
      </w:r>
      <w:r w:rsidRPr="00082F7B">
        <w:rPr>
          <w:rFonts w:asciiTheme="majorHAnsi" w:hAnsiTheme="majorHAnsi"/>
          <w:sz w:val="24"/>
          <w:szCs w:val="24"/>
        </w:rPr>
        <w:t>eksplozivnim sredstvima na tržištu kod specijalizovanih firmi.</w:t>
      </w:r>
      <w:bookmarkStart w:id="48" w:name="_Toc402262940"/>
    </w:p>
    <w:p w14:paraId="29F0B317" w14:textId="0CBE5CF5" w:rsidR="00F653C8" w:rsidRPr="00082F7B" w:rsidRDefault="00F653C8" w:rsidP="00266CEB">
      <w:pPr>
        <w:pStyle w:val="Heading2"/>
        <w:rPr>
          <w:rFonts w:asciiTheme="majorHAnsi" w:hAnsiTheme="majorHAnsi"/>
          <w:szCs w:val="24"/>
        </w:rPr>
      </w:pPr>
      <w:bookmarkStart w:id="49" w:name="_Toc459633534"/>
      <w:r w:rsidRPr="00082F7B">
        <w:rPr>
          <w:rFonts w:asciiTheme="majorHAnsi" w:hAnsiTheme="majorHAnsi"/>
          <w:szCs w:val="24"/>
        </w:rPr>
        <w:t xml:space="preserve">Potrebna oprema i </w:t>
      </w:r>
      <w:bookmarkEnd w:id="48"/>
      <w:r w:rsidR="00266CEB" w:rsidRPr="00082F7B">
        <w:rPr>
          <w:rFonts w:asciiTheme="majorHAnsi" w:hAnsiTheme="majorHAnsi"/>
          <w:szCs w:val="24"/>
        </w:rPr>
        <w:t>objekti</w:t>
      </w:r>
      <w:bookmarkEnd w:id="49"/>
    </w:p>
    <w:p w14:paraId="7E00CC10" w14:textId="323CE32E" w:rsidR="00266CEB" w:rsidRPr="00082F7B" w:rsidRDefault="00266CEB" w:rsidP="00266CEB">
      <w:pPr>
        <w:pStyle w:val="ListParagraph"/>
        <w:numPr>
          <w:ilvl w:val="0"/>
          <w:numId w:val="20"/>
        </w:numPr>
        <w:rPr>
          <w:rFonts w:asciiTheme="majorHAnsi" w:hAnsiTheme="majorHAnsi"/>
          <w:b/>
          <w:sz w:val="24"/>
          <w:szCs w:val="24"/>
        </w:rPr>
      </w:pPr>
      <w:r w:rsidRPr="00082F7B">
        <w:rPr>
          <w:rFonts w:asciiTheme="majorHAnsi" w:hAnsiTheme="majorHAnsi"/>
          <w:b/>
          <w:sz w:val="24"/>
          <w:szCs w:val="24"/>
        </w:rPr>
        <w:t>oprema</w:t>
      </w:r>
    </w:p>
    <w:tbl>
      <w:tblPr>
        <w:tblStyle w:val="TableGrid2"/>
        <w:tblW w:w="0" w:type="auto"/>
        <w:tblLook w:val="04A0" w:firstRow="1" w:lastRow="0" w:firstColumn="1" w:lastColumn="0" w:noHBand="0" w:noVBand="1"/>
      </w:tblPr>
      <w:tblGrid>
        <w:gridCol w:w="1134"/>
        <w:gridCol w:w="2610"/>
        <w:gridCol w:w="1123"/>
      </w:tblGrid>
      <w:tr w:rsidR="00AF620A" w:rsidRPr="00082F7B" w14:paraId="0FD1EAAD" w14:textId="77777777" w:rsidTr="00D71DA9">
        <w:tc>
          <w:tcPr>
            <w:tcW w:w="1134" w:type="dxa"/>
            <w:tcBorders>
              <w:top w:val="single" w:sz="12" w:space="0" w:color="auto"/>
              <w:left w:val="single" w:sz="12" w:space="0" w:color="auto"/>
              <w:bottom w:val="single" w:sz="18" w:space="0" w:color="auto"/>
            </w:tcBorders>
          </w:tcPr>
          <w:p w14:paraId="1213354D" w14:textId="77777777" w:rsidR="00AF620A"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Redni br.</w:t>
            </w:r>
          </w:p>
        </w:tc>
        <w:tc>
          <w:tcPr>
            <w:tcW w:w="2610" w:type="dxa"/>
            <w:tcBorders>
              <w:top w:val="single" w:sz="12" w:space="0" w:color="auto"/>
              <w:bottom w:val="single" w:sz="18" w:space="0" w:color="auto"/>
            </w:tcBorders>
          </w:tcPr>
          <w:p w14:paraId="05F08A71" w14:textId="77777777" w:rsidR="00AF620A"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N</w:t>
            </w:r>
            <w:r w:rsidR="00AF620A" w:rsidRPr="00082F7B">
              <w:rPr>
                <w:rFonts w:asciiTheme="majorHAnsi" w:hAnsiTheme="majorHAnsi"/>
                <w:b/>
                <w:sz w:val="24"/>
                <w:szCs w:val="24"/>
              </w:rPr>
              <w:t>aziv</w:t>
            </w:r>
          </w:p>
        </w:tc>
        <w:tc>
          <w:tcPr>
            <w:tcW w:w="1044" w:type="dxa"/>
            <w:tcBorders>
              <w:top w:val="single" w:sz="12" w:space="0" w:color="auto"/>
              <w:bottom w:val="single" w:sz="18" w:space="0" w:color="auto"/>
              <w:right w:val="single" w:sz="12" w:space="0" w:color="auto"/>
            </w:tcBorders>
          </w:tcPr>
          <w:p w14:paraId="77FBBEC1" w14:textId="77777777" w:rsidR="00AF620A"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K</w:t>
            </w:r>
            <w:r w:rsidR="00AF620A" w:rsidRPr="00082F7B">
              <w:rPr>
                <w:rFonts w:asciiTheme="majorHAnsi" w:hAnsiTheme="majorHAnsi"/>
                <w:b/>
                <w:sz w:val="24"/>
                <w:szCs w:val="24"/>
              </w:rPr>
              <w:t>oličina</w:t>
            </w:r>
          </w:p>
        </w:tc>
      </w:tr>
      <w:tr w:rsidR="00AF620A" w:rsidRPr="00082F7B" w14:paraId="6D105164" w14:textId="77777777" w:rsidTr="00D71DA9">
        <w:tc>
          <w:tcPr>
            <w:tcW w:w="1134" w:type="dxa"/>
            <w:tcBorders>
              <w:top w:val="single" w:sz="18" w:space="0" w:color="auto"/>
              <w:left w:val="single" w:sz="12" w:space="0" w:color="auto"/>
            </w:tcBorders>
          </w:tcPr>
          <w:p w14:paraId="0324AC5E"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c>
          <w:tcPr>
            <w:tcW w:w="2610" w:type="dxa"/>
            <w:tcBorders>
              <w:top w:val="single" w:sz="18" w:space="0" w:color="auto"/>
            </w:tcBorders>
          </w:tcPr>
          <w:p w14:paraId="30F54A7F"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Utovarivač</w:t>
            </w:r>
          </w:p>
        </w:tc>
        <w:tc>
          <w:tcPr>
            <w:tcW w:w="1044" w:type="dxa"/>
            <w:tcBorders>
              <w:top w:val="single" w:sz="18" w:space="0" w:color="auto"/>
              <w:right w:val="single" w:sz="12" w:space="0" w:color="auto"/>
            </w:tcBorders>
          </w:tcPr>
          <w:p w14:paraId="4D37B464"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1B9FE532" w14:textId="77777777" w:rsidTr="00D71DA9">
        <w:tc>
          <w:tcPr>
            <w:tcW w:w="1134" w:type="dxa"/>
            <w:tcBorders>
              <w:left w:val="single" w:sz="12" w:space="0" w:color="auto"/>
            </w:tcBorders>
          </w:tcPr>
          <w:p w14:paraId="260F6D34"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c>
          <w:tcPr>
            <w:tcW w:w="2610" w:type="dxa"/>
          </w:tcPr>
          <w:p w14:paraId="38DD31BE"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Bušilica</w:t>
            </w:r>
          </w:p>
        </w:tc>
        <w:tc>
          <w:tcPr>
            <w:tcW w:w="1044" w:type="dxa"/>
            <w:tcBorders>
              <w:right w:val="single" w:sz="12" w:space="0" w:color="auto"/>
            </w:tcBorders>
          </w:tcPr>
          <w:p w14:paraId="18CA154D"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24C4E6CC" w14:textId="77777777" w:rsidTr="00D71DA9">
        <w:tc>
          <w:tcPr>
            <w:tcW w:w="1134" w:type="dxa"/>
            <w:tcBorders>
              <w:top w:val="single" w:sz="12" w:space="0" w:color="auto"/>
              <w:left w:val="single" w:sz="12" w:space="0" w:color="auto"/>
            </w:tcBorders>
          </w:tcPr>
          <w:p w14:paraId="602867CF"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3</w:t>
            </w:r>
          </w:p>
        </w:tc>
        <w:tc>
          <w:tcPr>
            <w:tcW w:w="2610" w:type="dxa"/>
          </w:tcPr>
          <w:p w14:paraId="09235655"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Kamion</w:t>
            </w:r>
          </w:p>
        </w:tc>
        <w:tc>
          <w:tcPr>
            <w:tcW w:w="1044" w:type="dxa"/>
            <w:tcBorders>
              <w:right w:val="single" w:sz="12" w:space="0" w:color="auto"/>
            </w:tcBorders>
          </w:tcPr>
          <w:p w14:paraId="2BB39E19"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04EA7C8F" w14:textId="77777777" w:rsidTr="00D71DA9">
        <w:tc>
          <w:tcPr>
            <w:tcW w:w="1134" w:type="dxa"/>
            <w:tcBorders>
              <w:left w:val="single" w:sz="12" w:space="0" w:color="auto"/>
            </w:tcBorders>
          </w:tcPr>
          <w:p w14:paraId="30D6DF0D"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4</w:t>
            </w:r>
          </w:p>
        </w:tc>
        <w:tc>
          <w:tcPr>
            <w:tcW w:w="2610" w:type="dxa"/>
          </w:tcPr>
          <w:p w14:paraId="3E37BF61"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Drobilično postrojenje</w:t>
            </w:r>
          </w:p>
        </w:tc>
        <w:tc>
          <w:tcPr>
            <w:tcW w:w="1044" w:type="dxa"/>
            <w:tcBorders>
              <w:right w:val="single" w:sz="12" w:space="0" w:color="auto"/>
            </w:tcBorders>
          </w:tcPr>
          <w:p w14:paraId="7BB5B4EA"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57857C26" w14:textId="77777777" w:rsidTr="00D71DA9">
        <w:tc>
          <w:tcPr>
            <w:tcW w:w="1134" w:type="dxa"/>
            <w:tcBorders>
              <w:left w:val="single" w:sz="12" w:space="0" w:color="auto"/>
            </w:tcBorders>
          </w:tcPr>
          <w:p w14:paraId="32B91DB1"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5</w:t>
            </w:r>
          </w:p>
        </w:tc>
        <w:tc>
          <w:tcPr>
            <w:tcW w:w="2610" w:type="dxa"/>
          </w:tcPr>
          <w:p w14:paraId="02B4DB6F"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Bager</w:t>
            </w:r>
          </w:p>
        </w:tc>
        <w:tc>
          <w:tcPr>
            <w:tcW w:w="1044" w:type="dxa"/>
            <w:tcBorders>
              <w:right w:val="single" w:sz="12" w:space="0" w:color="auto"/>
            </w:tcBorders>
          </w:tcPr>
          <w:p w14:paraId="6F52D36A"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389A2F06" w14:textId="77777777" w:rsidTr="00D71DA9">
        <w:tc>
          <w:tcPr>
            <w:tcW w:w="1134" w:type="dxa"/>
            <w:tcBorders>
              <w:left w:val="single" w:sz="12" w:space="0" w:color="auto"/>
              <w:bottom w:val="single" w:sz="12" w:space="0" w:color="auto"/>
            </w:tcBorders>
          </w:tcPr>
          <w:p w14:paraId="36F8AB47"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6</w:t>
            </w:r>
          </w:p>
        </w:tc>
        <w:tc>
          <w:tcPr>
            <w:tcW w:w="2610" w:type="dxa"/>
            <w:tcBorders>
              <w:bottom w:val="single" w:sz="12" w:space="0" w:color="auto"/>
            </w:tcBorders>
          </w:tcPr>
          <w:p w14:paraId="7CCF84BA"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Cistijerna za vodu</w:t>
            </w:r>
          </w:p>
        </w:tc>
        <w:tc>
          <w:tcPr>
            <w:tcW w:w="1044" w:type="dxa"/>
            <w:tcBorders>
              <w:bottom w:val="single" w:sz="12" w:space="0" w:color="auto"/>
              <w:right w:val="single" w:sz="12" w:space="0" w:color="auto"/>
            </w:tcBorders>
          </w:tcPr>
          <w:p w14:paraId="4023CDC7" w14:textId="77777777" w:rsidR="00AF620A"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bl>
    <w:p w14:paraId="0E0AC9F5" w14:textId="3046E596" w:rsidR="00F653C8" w:rsidRPr="00082F7B" w:rsidRDefault="00F653C8" w:rsidP="00266CEB">
      <w:pPr>
        <w:pStyle w:val="Heading2"/>
        <w:numPr>
          <w:ilvl w:val="0"/>
          <w:numId w:val="20"/>
        </w:numPr>
        <w:shd w:val="clear" w:color="auto" w:fill="FFFFFF" w:themeFill="background1"/>
        <w:spacing w:line="240" w:lineRule="auto"/>
        <w:rPr>
          <w:rFonts w:asciiTheme="majorHAnsi" w:hAnsiTheme="majorHAnsi" w:cstheme="minorHAnsi"/>
          <w:szCs w:val="24"/>
        </w:rPr>
      </w:pPr>
      <w:bookmarkStart w:id="50" w:name="_Toc402262941"/>
      <w:bookmarkStart w:id="51" w:name="_Toc459633535"/>
      <w:r w:rsidRPr="00082F7B">
        <w:rPr>
          <w:rFonts w:asciiTheme="majorHAnsi" w:hAnsiTheme="majorHAnsi" w:cstheme="minorHAnsi"/>
          <w:szCs w:val="24"/>
        </w:rPr>
        <w:t>Objekti</w:t>
      </w:r>
      <w:bookmarkEnd w:id="50"/>
      <w:bookmarkEnd w:id="51"/>
    </w:p>
    <w:p w14:paraId="4EF26823" w14:textId="77777777" w:rsidR="00F653C8" w:rsidRPr="00082F7B" w:rsidRDefault="00F653C8" w:rsidP="00420CFA">
      <w:pPr>
        <w:shd w:val="clear" w:color="auto" w:fill="FFFFFF" w:themeFill="background1"/>
        <w:spacing w:after="0" w:line="240" w:lineRule="auto"/>
        <w:rPr>
          <w:rFonts w:asciiTheme="majorHAnsi" w:hAnsiTheme="majorHAnsi"/>
          <w:sz w:val="24"/>
          <w:szCs w:val="24"/>
        </w:rPr>
      </w:pPr>
    </w:p>
    <w:tbl>
      <w:tblPr>
        <w:tblStyle w:val="TableGrid2"/>
        <w:tblW w:w="0" w:type="auto"/>
        <w:tblLook w:val="04A0" w:firstRow="1" w:lastRow="0" w:firstColumn="1" w:lastColumn="0" w:noHBand="0" w:noVBand="1"/>
      </w:tblPr>
      <w:tblGrid>
        <w:gridCol w:w="1134"/>
        <w:gridCol w:w="6"/>
        <w:gridCol w:w="2595"/>
        <w:gridCol w:w="9"/>
        <w:gridCol w:w="1123"/>
      </w:tblGrid>
      <w:tr w:rsidR="00AF620A" w:rsidRPr="00082F7B" w14:paraId="4A695CF4" w14:textId="77777777" w:rsidTr="006E73B5">
        <w:tc>
          <w:tcPr>
            <w:tcW w:w="1134" w:type="dxa"/>
            <w:tcBorders>
              <w:top w:val="single" w:sz="12" w:space="0" w:color="auto"/>
              <w:left w:val="single" w:sz="12" w:space="0" w:color="auto"/>
              <w:bottom w:val="single" w:sz="12" w:space="0" w:color="auto"/>
              <w:right w:val="single" w:sz="2" w:space="0" w:color="auto"/>
            </w:tcBorders>
          </w:tcPr>
          <w:p w14:paraId="4491E008" w14:textId="77777777" w:rsidR="00AF620A" w:rsidRPr="00082F7B" w:rsidRDefault="00D71DA9" w:rsidP="006E73B5">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Redni br.</w:t>
            </w:r>
          </w:p>
        </w:tc>
        <w:tc>
          <w:tcPr>
            <w:tcW w:w="2610" w:type="dxa"/>
            <w:gridSpan w:val="3"/>
            <w:tcBorders>
              <w:top w:val="single" w:sz="12" w:space="0" w:color="auto"/>
              <w:left w:val="single" w:sz="2" w:space="0" w:color="auto"/>
              <w:bottom w:val="single" w:sz="12" w:space="0" w:color="auto"/>
              <w:right w:val="single" w:sz="12" w:space="0" w:color="auto"/>
            </w:tcBorders>
          </w:tcPr>
          <w:p w14:paraId="2B4C5A2A" w14:textId="77777777" w:rsidR="00AF620A" w:rsidRPr="00082F7B" w:rsidRDefault="00D71DA9" w:rsidP="006E73B5">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N</w:t>
            </w:r>
            <w:r w:rsidR="00AF620A" w:rsidRPr="00082F7B">
              <w:rPr>
                <w:rFonts w:asciiTheme="majorHAnsi" w:hAnsiTheme="majorHAnsi"/>
                <w:b/>
                <w:sz w:val="24"/>
                <w:szCs w:val="24"/>
              </w:rPr>
              <w:t>aziv</w:t>
            </w:r>
          </w:p>
        </w:tc>
        <w:tc>
          <w:tcPr>
            <w:tcW w:w="1044" w:type="dxa"/>
            <w:tcBorders>
              <w:top w:val="single" w:sz="12" w:space="0" w:color="auto"/>
              <w:left w:val="single" w:sz="12" w:space="0" w:color="auto"/>
              <w:bottom w:val="single" w:sz="12" w:space="0" w:color="auto"/>
              <w:right w:val="single" w:sz="12" w:space="0" w:color="auto"/>
            </w:tcBorders>
          </w:tcPr>
          <w:p w14:paraId="2B2BCD22" w14:textId="77777777" w:rsidR="00AF620A" w:rsidRPr="00082F7B" w:rsidRDefault="00D71DA9" w:rsidP="006E73B5">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K</w:t>
            </w:r>
            <w:r w:rsidR="00AF620A" w:rsidRPr="00082F7B">
              <w:rPr>
                <w:rFonts w:asciiTheme="majorHAnsi" w:hAnsiTheme="majorHAnsi"/>
                <w:b/>
                <w:sz w:val="24"/>
                <w:szCs w:val="24"/>
              </w:rPr>
              <w:t>oličina</w:t>
            </w:r>
          </w:p>
        </w:tc>
      </w:tr>
      <w:tr w:rsidR="00AF620A" w:rsidRPr="00082F7B" w14:paraId="75C5B097" w14:textId="77777777" w:rsidTr="006E73B5">
        <w:tc>
          <w:tcPr>
            <w:tcW w:w="1134" w:type="dxa"/>
            <w:tcBorders>
              <w:top w:val="single" w:sz="12" w:space="0" w:color="auto"/>
              <w:left w:val="single" w:sz="12" w:space="0" w:color="auto"/>
              <w:right w:val="single" w:sz="2" w:space="0" w:color="auto"/>
            </w:tcBorders>
            <w:vAlign w:val="center"/>
          </w:tcPr>
          <w:p w14:paraId="471FE10B"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c>
          <w:tcPr>
            <w:tcW w:w="2610" w:type="dxa"/>
            <w:gridSpan w:val="3"/>
            <w:tcBorders>
              <w:top w:val="single" w:sz="12" w:space="0" w:color="auto"/>
              <w:left w:val="single" w:sz="2" w:space="0" w:color="auto"/>
              <w:right w:val="single" w:sz="12" w:space="0" w:color="auto"/>
            </w:tcBorders>
          </w:tcPr>
          <w:p w14:paraId="2D094C1F"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Kontejner za kancelarije i magacin (40m</w:t>
            </w:r>
            <w:r w:rsidRPr="00082F7B">
              <w:rPr>
                <w:rFonts w:asciiTheme="majorHAnsi" w:hAnsiTheme="majorHAnsi"/>
                <w:sz w:val="24"/>
                <w:szCs w:val="24"/>
                <w:vertAlign w:val="superscript"/>
              </w:rPr>
              <w:t>2</w:t>
            </w:r>
            <w:r w:rsidRPr="00082F7B">
              <w:rPr>
                <w:rFonts w:asciiTheme="majorHAnsi" w:hAnsiTheme="majorHAnsi"/>
                <w:sz w:val="24"/>
                <w:szCs w:val="24"/>
              </w:rPr>
              <w:t>)</w:t>
            </w:r>
          </w:p>
        </w:tc>
        <w:tc>
          <w:tcPr>
            <w:tcW w:w="1044" w:type="dxa"/>
            <w:tcBorders>
              <w:top w:val="single" w:sz="12" w:space="0" w:color="auto"/>
              <w:left w:val="single" w:sz="12" w:space="0" w:color="auto"/>
              <w:right w:val="single" w:sz="12" w:space="0" w:color="auto"/>
            </w:tcBorders>
            <w:vAlign w:val="center"/>
          </w:tcPr>
          <w:p w14:paraId="58BA1508"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AF620A" w:rsidRPr="00082F7B" w14:paraId="4ADEF8CE" w14:textId="77777777" w:rsidTr="006E73B5">
        <w:tc>
          <w:tcPr>
            <w:tcW w:w="1134" w:type="dxa"/>
            <w:tcBorders>
              <w:top w:val="single" w:sz="4" w:space="0" w:color="auto"/>
              <w:left w:val="single" w:sz="12" w:space="0" w:color="auto"/>
              <w:bottom w:val="single" w:sz="4" w:space="0" w:color="auto"/>
              <w:right w:val="single" w:sz="2" w:space="0" w:color="auto"/>
            </w:tcBorders>
            <w:vAlign w:val="center"/>
          </w:tcPr>
          <w:p w14:paraId="3C148525"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c>
          <w:tcPr>
            <w:tcW w:w="2610" w:type="dxa"/>
            <w:gridSpan w:val="3"/>
            <w:tcBorders>
              <w:top w:val="single" w:sz="4" w:space="0" w:color="auto"/>
              <w:left w:val="single" w:sz="2" w:space="0" w:color="auto"/>
              <w:bottom w:val="single" w:sz="4" w:space="0" w:color="auto"/>
              <w:right w:val="single" w:sz="12" w:space="0" w:color="auto"/>
            </w:tcBorders>
          </w:tcPr>
          <w:p w14:paraId="7A44B2AE"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Kontejner-stražara</w:t>
            </w:r>
          </w:p>
        </w:tc>
        <w:tc>
          <w:tcPr>
            <w:tcW w:w="1044" w:type="dxa"/>
            <w:tcBorders>
              <w:top w:val="single" w:sz="4" w:space="0" w:color="auto"/>
              <w:left w:val="single" w:sz="12" w:space="0" w:color="auto"/>
              <w:bottom w:val="single" w:sz="4" w:space="0" w:color="auto"/>
              <w:right w:val="single" w:sz="12" w:space="0" w:color="auto"/>
            </w:tcBorders>
            <w:vAlign w:val="center"/>
          </w:tcPr>
          <w:p w14:paraId="3887C009" w14:textId="77777777" w:rsidR="00AF620A" w:rsidRPr="00082F7B" w:rsidRDefault="00AF620A" w:rsidP="006E73B5">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E85BD9" w:rsidRPr="00082F7B" w14:paraId="7D68FC99" w14:textId="77777777" w:rsidTr="006E73B5">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Ex>
        <w:trPr>
          <w:trHeight w:val="390"/>
        </w:trPr>
        <w:tc>
          <w:tcPr>
            <w:tcW w:w="1140" w:type="dxa"/>
            <w:gridSpan w:val="2"/>
            <w:tcBorders>
              <w:top w:val="single" w:sz="4" w:space="0" w:color="auto"/>
              <w:left w:val="single" w:sz="12" w:space="0" w:color="auto"/>
              <w:right w:val="single" w:sz="2" w:space="0" w:color="auto"/>
            </w:tcBorders>
          </w:tcPr>
          <w:p w14:paraId="66FBC103" w14:textId="77777777" w:rsidR="00E85BD9" w:rsidRPr="00082F7B" w:rsidRDefault="00E85BD9" w:rsidP="006E73B5">
            <w:pPr>
              <w:shd w:val="clear" w:color="auto" w:fill="FFFFFF" w:themeFill="background1"/>
              <w:ind w:left="108"/>
              <w:rPr>
                <w:rFonts w:asciiTheme="majorHAnsi" w:hAnsiTheme="majorHAnsi"/>
                <w:sz w:val="24"/>
                <w:szCs w:val="24"/>
              </w:rPr>
            </w:pPr>
            <w:r w:rsidRPr="00082F7B">
              <w:rPr>
                <w:rFonts w:asciiTheme="majorHAnsi" w:hAnsiTheme="majorHAnsi"/>
                <w:sz w:val="24"/>
                <w:szCs w:val="24"/>
              </w:rPr>
              <w:t xml:space="preserve">     </w:t>
            </w:r>
            <w:r w:rsidR="00C33B19" w:rsidRPr="00082F7B">
              <w:rPr>
                <w:rFonts w:asciiTheme="majorHAnsi" w:hAnsiTheme="majorHAnsi"/>
                <w:sz w:val="24"/>
                <w:szCs w:val="24"/>
              </w:rPr>
              <w:t xml:space="preserve"> </w:t>
            </w:r>
            <w:r w:rsidRPr="00082F7B">
              <w:rPr>
                <w:rFonts w:asciiTheme="majorHAnsi" w:hAnsiTheme="majorHAnsi"/>
                <w:sz w:val="24"/>
                <w:szCs w:val="24"/>
              </w:rPr>
              <w:t>3</w:t>
            </w:r>
          </w:p>
        </w:tc>
        <w:tc>
          <w:tcPr>
            <w:tcW w:w="2595" w:type="dxa"/>
            <w:tcBorders>
              <w:top w:val="single" w:sz="4" w:space="0" w:color="auto"/>
              <w:left w:val="single" w:sz="2" w:space="0" w:color="auto"/>
              <w:right w:val="single" w:sz="12" w:space="0" w:color="auto"/>
            </w:tcBorders>
          </w:tcPr>
          <w:p w14:paraId="6328898C" w14:textId="77777777" w:rsidR="00E85BD9" w:rsidRPr="00082F7B" w:rsidRDefault="00E85BD9" w:rsidP="006E73B5">
            <w:pPr>
              <w:shd w:val="clear" w:color="auto" w:fill="FFFFFF" w:themeFill="background1"/>
              <w:ind w:left="108"/>
              <w:jc w:val="center"/>
              <w:rPr>
                <w:rFonts w:asciiTheme="majorHAnsi" w:hAnsiTheme="majorHAnsi"/>
                <w:sz w:val="24"/>
                <w:szCs w:val="24"/>
              </w:rPr>
            </w:pPr>
            <w:r w:rsidRPr="00082F7B">
              <w:rPr>
                <w:rFonts w:asciiTheme="majorHAnsi" w:hAnsiTheme="majorHAnsi"/>
                <w:sz w:val="24"/>
                <w:szCs w:val="24"/>
              </w:rPr>
              <w:t>Priručno skladište eksploziva</w:t>
            </w:r>
          </w:p>
        </w:tc>
        <w:tc>
          <w:tcPr>
            <w:tcW w:w="1053" w:type="dxa"/>
            <w:gridSpan w:val="2"/>
            <w:tcBorders>
              <w:top w:val="single" w:sz="4" w:space="0" w:color="auto"/>
              <w:left w:val="single" w:sz="12" w:space="0" w:color="auto"/>
              <w:right w:val="single" w:sz="12" w:space="0" w:color="auto"/>
            </w:tcBorders>
          </w:tcPr>
          <w:p w14:paraId="2531AA8F" w14:textId="77777777" w:rsidR="00E85BD9" w:rsidRPr="00082F7B" w:rsidRDefault="00E85BD9" w:rsidP="006E73B5">
            <w:pPr>
              <w:shd w:val="clear" w:color="auto" w:fill="FFFFFF" w:themeFill="background1"/>
              <w:ind w:left="108"/>
              <w:rPr>
                <w:rFonts w:asciiTheme="majorHAnsi" w:hAnsiTheme="majorHAnsi"/>
                <w:sz w:val="24"/>
                <w:szCs w:val="24"/>
              </w:rPr>
            </w:pPr>
            <w:r w:rsidRPr="00082F7B">
              <w:rPr>
                <w:rFonts w:asciiTheme="majorHAnsi" w:hAnsiTheme="majorHAnsi"/>
                <w:sz w:val="24"/>
                <w:szCs w:val="24"/>
              </w:rPr>
              <w:t xml:space="preserve">    </w:t>
            </w:r>
            <w:r w:rsidR="00C33B19" w:rsidRPr="00082F7B">
              <w:rPr>
                <w:rFonts w:asciiTheme="majorHAnsi" w:hAnsiTheme="majorHAnsi"/>
                <w:sz w:val="24"/>
                <w:szCs w:val="24"/>
              </w:rPr>
              <w:t xml:space="preserve"> </w:t>
            </w:r>
            <w:r w:rsidRPr="00082F7B">
              <w:rPr>
                <w:rFonts w:asciiTheme="majorHAnsi" w:hAnsiTheme="majorHAnsi"/>
                <w:sz w:val="24"/>
                <w:szCs w:val="24"/>
              </w:rPr>
              <w:t xml:space="preserve"> 1</w:t>
            </w:r>
          </w:p>
        </w:tc>
      </w:tr>
    </w:tbl>
    <w:p w14:paraId="1F26B729" w14:textId="77777777" w:rsidR="009F02D2" w:rsidRPr="00082F7B" w:rsidRDefault="009F02D2" w:rsidP="009F02D2">
      <w:pPr>
        <w:pStyle w:val="Heading2"/>
        <w:numPr>
          <w:ilvl w:val="0"/>
          <w:numId w:val="0"/>
        </w:numPr>
        <w:ind w:left="576"/>
        <w:rPr>
          <w:rFonts w:asciiTheme="majorHAnsi" w:hAnsiTheme="majorHAnsi"/>
          <w:szCs w:val="24"/>
        </w:rPr>
      </w:pPr>
      <w:bookmarkStart w:id="52" w:name="_Toc402262942"/>
    </w:p>
    <w:p w14:paraId="2B4D69ED" w14:textId="77777777" w:rsidR="009F02D2" w:rsidRPr="00082F7B" w:rsidRDefault="009F02D2" w:rsidP="009F02D2">
      <w:pPr>
        <w:rPr>
          <w:sz w:val="24"/>
          <w:szCs w:val="24"/>
        </w:rPr>
      </w:pPr>
    </w:p>
    <w:p w14:paraId="53E56E41" w14:textId="77777777" w:rsidR="009F02D2" w:rsidRPr="00082F7B" w:rsidRDefault="009F02D2" w:rsidP="009F02D2">
      <w:pPr>
        <w:rPr>
          <w:sz w:val="24"/>
          <w:szCs w:val="24"/>
        </w:rPr>
      </w:pPr>
    </w:p>
    <w:p w14:paraId="23C3A68E" w14:textId="77777777" w:rsidR="009F02D2" w:rsidRPr="00082F7B" w:rsidRDefault="009F02D2" w:rsidP="009F02D2">
      <w:pPr>
        <w:rPr>
          <w:sz w:val="24"/>
          <w:szCs w:val="24"/>
        </w:rPr>
      </w:pPr>
    </w:p>
    <w:p w14:paraId="3FAF72D1" w14:textId="2AE273CD" w:rsidR="00F653C8" w:rsidRPr="00082F7B" w:rsidRDefault="00F653C8" w:rsidP="00266CEB">
      <w:pPr>
        <w:pStyle w:val="Heading2"/>
        <w:rPr>
          <w:rFonts w:asciiTheme="majorHAnsi" w:hAnsiTheme="majorHAnsi"/>
          <w:szCs w:val="24"/>
        </w:rPr>
      </w:pPr>
      <w:bookmarkStart w:id="53" w:name="_Toc459633536"/>
      <w:r w:rsidRPr="00082F7B">
        <w:rPr>
          <w:rFonts w:asciiTheme="majorHAnsi" w:hAnsiTheme="majorHAnsi"/>
          <w:szCs w:val="24"/>
        </w:rPr>
        <w:lastRenderedPageBreak/>
        <w:t>Radna snaga</w:t>
      </w:r>
      <w:bookmarkEnd w:id="52"/>
      <w:bookmarkEnd w:id="53"/>
    </w:p>
    <w:p w14:paraId="48D491DE" w14:textId="77777777" w:rsidR="00F653C8" w:rsidRPr="00082F7B" w:rsidRDefault="00F653C8" w:rsidP="00420CFA">
      <w:pPr>
        <w:shd w:val="clear" w:color="auto" w:fill="FFFFFF" w:themeFill="background1"/>
        <w:spacing w:after="0" w:line="240" w:lineRule="auto"/>
        <w:rPr>
          <w:rFonts w:asciiTheme="majorHAnsi" w:eastAsia="Calibri" w:hAnsiTheme="majorHAnsi" w:cstheme="minorHAnsi"/>
          <w:b/>
          <w:sz w:val="24"/>
          <w:szCs w:val="24"/>
        </w:rPr>
      </w:pPr>
    </w:p>
    <w:tbl>
      <w:tblPr>
        <w:tblStyle w:val="TableGrid1"/>
        <w:tblW w:w="0" w:type="auto"/>
        <w:tblLook w:val="04A0" w:firstRow="1" w:lastRow="0" w:firstColumn="1" w:lastColumn="0" w:noHBand="0" w:noVBand="1"/>
      </w:tblPr>
      <w:tblGrid>
        <w:gridCol w:w="1099"/>
        <w:gridCol w:w="2430"/>
        <w:gridCol w:w="1686"/>
        <w:gridCol w:w="1710"/>
        <w:gridCol w:w="1573"/>
      </w:tblGrid>
      <w:tr w:rsidR="00F653C8" w:rsidRPr="00082F7B" w14:paraId="00E1E05C" w14:textId="77777777" w:rsidTr="006E73B5">
        <w:tc>
          <w:tcPr>
            <w:tcW w:w="1099" w:type="dxa"/>
            <w:tcBorders>
              <w:top w:val="single" w:sz="12" w:space="0" w:color="auto"/>
              <w:left w:val="single" w:sz="12" w:space="0" w:color="auto"/>
              <w:bottom w:val="single" w:sz="18" w:space="0" w:color="auto"/>
              <w:right w:val="single" w:sz="12" w:space="0" w:color="auto"/>
            </w:tcBorders>
          </w:tcPr>
          <w:p w14:paraId="1DECD89A" w14:textId="77777777" w:rsidR="00F653C8"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Redni br.</w:t>
            </w:r>
          </w:p>
        </w:tc>
        <w:tc>
          <w:tcPr>
            <w:tcW w:w="2430" w:type="dxa"/>
            <w:tcBorders>
              <w:top w:val="single" w:sz="12" w:space="0" w:color="auto"/>
              <w:left w:val="single" w:sz="12" w:space="0" w:color="auto"/>
              <w:bottom w:val="single" w:sz="18" w:space="0" w:color="auto"/>
            </w:tcBorders>
          </w:tcPr>
          <w:p w14:paraId="223E5574" w14:textId="77777777" w:rsidR="00F653C8" w:rsidRPr="00082F7B" w:rsidRDefault="00F653C8"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Naziv radnog mjesta</w:t>
            </w:r>
          </w:p>
        </w:tc>
        <w:tc>
          <w:tcPr>
            <w:tcW w:w="1170" w:type="dxa"/>
            <w:tcBorders>
              <w:top w:val="single" w:sz="12" w:space="0" w:color="auto"/>
              <w:bottom w:val="single" w:sz="18" w:space="0" w:color="auto"/>
            </w:tcBorders>
          </w:tcPr>
          <w:p w14:paraId="4C60FDE2" w14:textId="77777777" w:rsidR="00F653C8"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Potreb.kvalif.</w:t>
            </w:r>
          </w:p>
        </w:tc>
        <w:tc>
          <w:tcPr>
            <w:tcW w:w="1710" w:type="dxa"/>
            <w:tcBorders>
              <w:top w:val="single" w:sz="12" w:space="0" w:color="auto"/>
              <w:bottom w:val="single" w:sz="18" w:space="0" w:color="auto"/>
              <w:right w:val="single" w:sz="12" w:space="0" w:color="auto"/>
            </w:tcBorders>
          </w:tcPr>
          <w:p w14:paraId="3FF8B087" w14:textId="77777777" w:rsidR="00F653C8" w:rsidRPr="00082F7B" w:rsidRDefault="00F653C8"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Struka</w:t>
            </w:r>
          </w:p>
        </w:tc>
        <w:tc>
          <w:tcPr>
            <w:tcW w:w="1008" w:type="dxa"/>
            <w:tcBorders>
              <w:top w:val="single" w:sz="12" w:space="0" w:color="auto"/>
              <w:left w:val="single" w:sz="12" w:space="0" w:color="auto"/>
              <w:bottom w:val="single" w:sz="18" w:space="0" w:color="auto"/>
              <w:right w:val="single" w:sz="12" w:space="0" w:color="auto"/>
            </w:tcBorders>
          </w:tcPr>
          <w:p w14:paraId="4298F453" w14:textId="77777777" w:rsidR="00F653C8" w:rsidRPr="00082F7B" w:rsidRDefault="00D71DA9"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Br.izvršilaca</w:t>
            </w:r>
          </w:p>
        </w:tc>
      </w:tr>
      <w:tr w:rsidR="00F653C8" w:rsidRPr="00082F7B" w14:paraId="4CF20342" w14:textId="77777777" w:rsidTr="006E73B5">
        <w:tc>
          <w:tcPr>
            <w:tcW w:w="1099" w:type="dxa"/>
            <w:tcBorders>
              <w:top w:val="single" w:sz="18" w:space="0" w:color="auto"/>
              <w:left w:val="single" w:sz="12" w:space="0" w:color="auto"/>
              <w:right w:val="single" w:sz="12" w:space="0" w:color="auto"/>
            </w:tcBorders>
            <w:vAlign w:val="center"/>
          </w:tcPr>
          <w:p w14:paraId="7468D27B"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c>
          <w:tcPr>
            <w:tcW w:w="2430" w:type="dxa"/>
            <w:tcBorders>
              <w:top w:val="single" w:sz="18" w:space="0" w:color="auto"/>
              <w:left w:val="single" w:sz="12" w:space="0" w:color="auto"/>
            </w:tcBorders>
          </w:tcPr>
          <w:p w14:paraId="745FA733"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Upravnik</w:t>
            </w:r>
          </w:p>
        </w:tc>
        <w:tc>
          <w:tcPr>
            <w:tcW w:w="1170" w:type="dxa"/>
            <w:tcBorders>
              <w:top w:val="single" w:sz="18" w:space="0" w:color="auto"/>
            </w:tcBorders>
            <w:vAlign w:val="center"/>
          </w:tcPr>
          <w:p w14:paraId="149E5846"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VSS</w:t>
            </w:r>
          </w:p>
        </w:tc>
        <w:tc>
          <w:tcPr>
            <w:tcW w:w="1710" w:type="dxa"/>
            <w:tcBorders>
              <w:top w:val="single" w:sz="18" w:space="0" w:color="auto"/>
              <w:right w:val="single" w:sz="12" w:space="0" w:color="auto"/>
            </w:tcBorders>
          </w:tcPr>
          <w:p w14:paraId="19AD3BF1"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Dipl.inž. rudarstva</w:t>
            </w:r>
          </w:p>
        </w:tc>
        <w:tc>
          <w:tcPr>
            <w:tcW w:w="1008" w:type="dxa"/>
            <w:tcBorders>
              <w:top w:val="single" w:sz="18" w:space="0" w:color="auto"/>
              <w:left w:val="single" w:sz="12" w:space="0" w:color="auto"/>
              <w:right w:val="single" w:sz="12" w:space="0" w:color="auto"/>
            </w:tcBorders>
            <w:vAlign w:val="center"/>
          </w:tcPr>
          <w:p w14:paraId="25E13D1B"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F653C8" w:rsidRPr="00082F7B" w14:paraId="2E958F2F" w14:textId="77777777" w:rsidTr="006E73B5">
        <w:tc>
          <w:tcPr>
            <w:tcW w:w="1099" w:type="dxa"/>
            <w:tcBorders>
              <w:left w:val="single" w:sz="12" w:space="0" w:color="auto"/>
              <w:right w:val="single" w:sz="12" w:space="0" w:color="auto"/>
            </w:tcBorders>
            <w:vAlign w:val="center"/>
          </w:tcPr>
          <w:p w14:paraId="7B73DBA1"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c>
          <w:tcPr>
            <w:tcW w:w="2430" w:type="dxa"/>
            <w:tcBorders>
              <w:left w:val="single" w:sz="12" w:space="0" w:color="auto"/>
            </w:tcBorders>
          </w:tcPr>
          <w:p w14:paraId="26BDBBD5"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Poslovođa</w:t>
            </w:r>
          </w:p>
        </w:tc>
        <w:tc>
          <w:tcPr>
            <w:tcW w:w="1170" w:type="dxa"/>
            <w:vAlign w:val="center"/>
          </w:tcPr>
          <w:p w14:paraId="57DB9618"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SSS</w:t>
            </w:r>
          </w:p>
        </w:tc>
        <w:tc>
          <w:tcPr>
            <w:tcW w:w="1710" w:type="dxa"/>
            <w:tcBorders>
              <w:right w:val="single" w:sz="12" w:space="0" w:color="auto"/>
            </w:tcBorders>
          </w:tcPr>
          <w:p w14:paraId="1E1A0E02"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Rudarski tehničar</w:t>
            </w:r>
          </w:p>
        </w:tc>
        <w:tc>
          <w:tcPr>
            <w:tcW w:w="1008" w:type="dxa"/>
            <w:tcBorders>
              <w:left w:val="single" w:sz="12" w:space="0" w:color="auto"/>
              <w:right w:val="single" w:sz="12" w:space="0" w:color="auto"/>
            </w:tcBorders>
            <w:vAlign w:val="center"/>
          </w:tcPr>
          <w:p w14:paraId="68981CCB"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F653C8" w:rsidRPr="00082F7B" w14:paraId="18A77CE8" w14:textId="77777777" w:rsidTr="006E73B5">
        <w:tc>
          <w:tcPr>
            <w:tcW w:w="1099" w:type="dxa"/>
            <w:tcBorders>
              <w:left w:val="single" w:sz="12" w:space="0" w:color="auto"/>
              <w:right w:val="single" w:sz="12" w:space="0" w:color="auto"/>
            </w:tcBorders>
            <w:vAlign w:val="center"/>
          </w:tcPr>
          <w:p w14:paraId="3AA2C615"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3</w:t>
            </w:r>
          </w:p>
        </w:tc>
        <w:tc>
          <w:tcPr>
            <w:tcW w:w="2430" w:type="dxa"/>
            <w:tcBorders>
              <w:left w:val="single" w:sz="12" w:space="0" w:color="auto"/>
            </w:tcBorders>
          </w:tcPr>
          <w:p w14:paraId="1195DC76"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Rukovaoc mobilnog postrojenja za preradu</w:t>
            </w:r>
          </w:p>
        </w:tc>
        <w:tc>
          <w:tcPr>
            <w:tcW w:w="1170" w:type="dxa"/>
            <w:vAlign w:val="center"/>
          </w:tcPr>
          <w:p w14:paraId="3D3763A0"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KV</w:t>
            </w:r>
          </w:p>
        </w:tc>
        <w:tc>
          <w:tcPr>
            <w:tcW w:w="1710" w:type="dxa"/>
            <w:tcBorders>
              <w:right w:val="single" w:sz="12" w:space="0" w:color="auto"/>
            </w:tcBorders>
          </w:tcPr>
          <w:p w14:paraId="10F5B2EA"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Rukovaoc rud.-građ. mašina</w:t>
            </w:r>
          </w:p>
        </w:tc>
        <w:tc>
          <w:tcPr>
            <w:tcW w:w="1008" w:type="dxa"/>
            <w:tcBorders>
              <w:left w:val="single" w:sz="12" w:space="0" w:color="auto"/>
              <w:right w:val="single" w:sz="12" w:space="0" w:color="auto"/>
            </w:tcBorders>
            <w:vAlign w:val="center"/>
          </w:tcPr>
          <w:p w14:paraId="3CDD80EB"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r>
      <w:tr w:rsidR="00F653C8" w:rsidRPr="00082F7B" w14:paraId="6EE10CE1" w14:textId="77777777" w:rsidTr="006E73B5">
        <w:tc>
          <w:tcPr>
            <w:tcW w:w="1099" w:type="dxa"/>
            <w:tcBorders>
              <w:left w:val="single" w:sz="12" w:space="0" w:color="auto"/>
              <w:right w:val="single" w:sz="12" w:space="0" w:color="auto"/>
            </w:tcBorders>
            <w:vAlign w:val="center"/>
          </w:tcPr>
          <w:p w14:paraId="6C6F9955"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4</w:t>
            </w:r>
          </w:p>
        </w:tc>
        <w:tc>
          <w:tcPr>
            <w:tcW w:w="2430" w:type="dxa"/>
            <w:tcBorders>
              <w:left w:val="single" w:sz="12" w:space="0" w:color="auto"/>
            </w:tcBorders>
          </w:tcPr>
          <w:p w14:paraId="105A55E8"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Rukovaoc mašinama</w:t>
            </w:r>
          </w:p>
        </w:tc>
        <w:tc>
          <w:tcPr>
            <w:tcW w:w="1170" w:type="dxa"/>
            <w:vAlign w:val="center"/>
          </w:tcPr>
          <w:p w14:paraId="749E5ADA"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KV</w:t>
            </w:r>
          </w:p>
        </w:tc>
        <w:tc>
          <w:tcPr>
            <w:tcW w:w="1710" w:type="dxa"/>
            <w:tcBorders>
              <w:right w:val="single" w:sz="12" w:space="0" w:color="auto"/>
            </w:tcBorders>
          </w:tcPr>
          <w:p w14:paraId="7A105886"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Rukovaoc rud.-građ. mašina</w:t>
            </w:r>
          </w:p>
        </w:tc>
        <w:tc>
          <w:tcPr>
            <w:tcW w:w="1008" w:type="dxa"/>
            <w:tcBorders>
              <w:left w:val="single" w:sz="12" w:space="0" w:color="auto"/>
              <w:right w:val="single" w:sz="12" w:space="0" w:color="auto"/>
            </w:tcBorders>
            <w:vAlign w:val="center"/>
          </w:tcPr>
          <w:p w14:paraId="60210C48" w14:textId="77777777" w:rsidR="00F653C8" w:rsidRPr="00082F7B" w:rsidRDefault="00AF620A"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r>
      <w:tr w:rsidR="00F653C8" w:rsidRPr="00082F7B" w14:paraId="427BE153" w14:textId="77777777" w:rsidTr="006E73B5">
        <w:tc>
          <w:tcPr>
            <w:tcW w:w="1099" w:type="dxa"/>
            <w:tcBorders>
              <w:left w:val="single" w:sz="12" w:space="0" w:color="auto"/>
              <w:right w:val="single" w:sz="12" w:space="0" w:color="auto"/>
            </w:tcBorders>
            <w:vAlign w:val="center"/>
          </w:tcPr>
          <w:p w14:paraId="4AB81510"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5</w:t>
            </w:r>
          </w:p>
        </w:tc>
        <w:tc>
          <w:tcPr>
            <w:tcW w:w="2430" w:type="dxa"/>
            <w:tcBorders>
              <w:left w:val="single" w:sz="12" w:space="0" w:color="auto"/>
            </w:tcBorders>
          </w:tcPr>
          <w:p w14:paraId="130CF470"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Vozač</w:t>
            </w:r>
          </w:p>
        </w:tc>
        <w:tc>
          <w:tcPr>
            <w:tcW w:w="1170" w:type="dxa"/>
            <w:vAlign w:val="center"/>
          </w:tcPr>
          <w:p w14:paraId="730A1632"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KV</w:t>
            </w:r>
          </w:p>
        </w:tc>
        <w:tc>
          <w:tcPr>
            <w:tcW w:w="1710" w:type="dxa"/>
            <w:tcBorders>
              <w:right w:val="single" w:sz="12" w:space="0" w:color="auto"/>
            </w:tcBorders>
          </w:tcPr>
          <w:p w14:paraId="65026E21"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vozač</w:t>
            </w:r>
          </w:p>
        </w:tc>
        <w:tc>
          <w:tcPr>
            <w:tcW w:w="1008" w:type="dxa"/>
            <w:tcBorders>
              <w:left w:val="single" w:sz="12" w:space="0" w:color="auto"/>
              <w:right w:val="single" w:sz="12" w:space="0" w:color="auto"/>
            </w:tcBorders>
            <w:vAlign w:val="center"/>
          </w:tcPr>
          <w:p w14:paraId="2947CC78"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2</w:t>
            </w:r>
          </w:p>
        </w:tc>
      </w:tr>
      <w:tr w:rsidR="00F653C8" w:rsidRPr="00082F7B" w14:paraId="62556AE1" w14:textId="77777777" w:rsidTr="006E73B5">
        <w:tc>
          <w:tcPr>
            <w:tcW w:w="1099" w:type="dxa"/>
            <w:tcBorders>
              <w:left w:val="single" w:sz="12" w:space="0" w:color="auto"/>
              <w:right w:val="single" w:sz="12" w:space="0" w:color="auto"/>
            </w:tcBorders>
            <w:vAlign w:val="center"/>
          </w:tcPr>
          <w:p w14:paraId="257FFCCE"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6</w:t>
            </w:r>
          </w:p>
        </w:tc>
        <w:tc>
          <w:tcPr>
            <w:tcW w:w="2430" w:type="dxa"/>
            <w:tcBorders>
              <w:left w:val="single" w:sz="12" w:space="0" w:color="auto"/>
            </w:tcBorders>
          </w:tcPr>
          <w:p w14:paraId="3A122189"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Bušač</w:t>
            </w:r>
          </w:p>
        </w:tc>
        <w:tc>
          <w:tcPr>
            <w:tcW w:w="1170" w:type="dxa"/>
            <w:vAlign w:val="center"/>
          </w:tcPr>
          <w:p w14:paraId="649D4F2C"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KV</w:t>
            </w:r>
          </w:p>
        </w:tc>
        <w:tc>
          <w:tcPr>
            <w:tcW w:w="1710" w:type="dxa"/>
            <w:tcBorders>
              <w:right w:val="single" w:sz="12" w:space="0" w:color="auto"/>
            </w:tcBorders>
          </w:tcPr>
          <w:p w14:paraId="01F332FD" w14:textId="77777777" w:rsidR="00F653C8" w:rsidRPr="00082F7B" w:rsidRDefault="00F653C8" w:rsidP="00420CFA">
            <w:pPr>
              <w:shd w:val="clear" w:color="auto" w:fill="FFFFFF" w:themeFill="background1"/>
              <w:jc w:val="center"/>
              <w:rPr>
                <w:rFonts w:asciiTheme="majorHAnsi" w:hAnsiTheme="majorHAnsi"/>
                <w:sz w:val="24"/>
                <w:szCs w:val="24"/>
              </w:rPr>
            </w:pPr>
          </w:p>
        </w:tc>
        <w:tc>
          <w:tcPr>
            <w:tcW w:w="1008" w:type="dxa"/>
            <w:tcBorders>
              <w:left w:val="single" w:sz="12" w:space="0" w:color="auto"/>
              <w:right w:val="single" w:sz="12" w:space="0" w:color="auto"/>
            </w:tcBorders>
            <w:vAlign w:val="center"/>
          </w:tcPr>
          <w:p w14:paraId="69F7CBE1"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p>
        </w:tc>
      </w:tr>
      <w:tr w:rsidR="00F653C8" w:rsidRPr="00082F7B" w14:paraId="370AD5A1" w14:textId="77777777" w:rsidTr="006E73B5">
        <w:tc>
          <w:tcPr>
            <w:tcW w:w="1099" w:type="dxa"/>
            <w:tcBorders>
              <w:left w:val="single" w:sz="12" w:space="0" w:color="auto"/>
              <w:bottom w:val="single" w:sz="12" w:space="0" w:color="auto"/>
              <w:right w:val="single" w:sz="12" w:space="0" w:color="auto"/>
            </w:tcBorders>
            <w:vAlign w:val="center"/>
          </w:tcPr>
          <w:p w14:paraId="01F2190D"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7</w:t>
            </w:r>
          </w:p>
        </w:tc>
        <w:tc>
          <w:tcPr>
            <w:tcW w:w="2430" w:type="dxa"/>
            <w:tcBorders>
              <w:left w:val="single" w:sz="12" w:space="0" w:color="auto"/>
              <w:bottom w:val="single" w:sz="12" w:space="0" w:color="auto"/>
            </w:tcBorders>
          </w:tcPr>
          <w:p w14:paraId="3FB7BCFF"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Stražar</w:t>
            </w:r>
          </w:p>
        </w:tc>
        <w:tc>
          <w:tcPr>
            <w:tcW w:w="1170" w:type="dxa"/>
            <w:tcBorders>
              <w:bottom w:val="single" w:sz="12" w:space="0" w:color="auto"/>
            </w:tcBorders>
            <w:vAlign w:val="center"/>
          </w:tcPr>
          <w:p w14:paraId="06DA621A"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PK</w:t>
            </w:r>
          </w:p>
        </w:tc>
        <w:tc>
          <w:tcPr>
            <w:tcW w:w="1710" w:type="dxa"/>
            <w:tcBorders>
              <w:bottom w:val="single" w:sz="12" w:space="0" w:color="auto"/>
              <w:right w:val="single" w:sz="12" w:space="0" w:color="auto"/>
            </w:tcBorders>
          </w:tcPr>
          <w:p w14:paraId="02F2334D" w14:textId="77777777" w:rsidR="00F653C8" w:rsidRPr="00082F7B" w:rsidRDefault="00F653C8" w:rsidP="00420CFA">
            <w:pPr>
              <w:shd w:val="clear" w:color="auto" w:fill="FFFFFF" w:themeFill="background1"/>
              <w:jc w:val="center"/>
              <w:rPr>
                <w:rFonts w:asciiTheme="majorHAnsi" w:hAnsiTheme="majorHAnsi"/>
                <w:sz w:val="24"/>
                <w:szCs w:val="24"/>
              </w:rPr>
            </w:pPr>
          </w:p>
        </w:tc>
        <w:tc>
          <w:tcPr>
            <w:tcW w:w="1008" w:type="dxa"/>
            <w:tcBorders>
              <w:left w:val="single" w:sz="12" w:space="0" w:color="auto"/>
              <w:bottom w:val="single" w:sz="12" w:space="0" w:color="auto"/>
              <w:right w:val="single" w:sz="12" w:space="0" w:color="auto"/>
            </w:tcBorders>
            <w:vAlign w:val="center"/>
          </w:tcPr>
          <w:p w14:paraId="20A6B8C3"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4</w:t>
            </w:r>
          </w:p>
        </w:tc>
      </w:tr>
      <w:tr w:rsidR="00F653C8" w:rsidRPr="00082F7B" w14:paraId="25D2B475" w14:textId="77777777" w:rsidTr="00B102A4">
        <w:trPr>
          <w:trHeight w:val="267"/>
        </w:trPr>
        <w:tc>
          <w:tcPr>
            <w:tcW w:w="6409" w:type="dxa"/>
            <w:gridSpan w:val="4"/>
            <w:tcBorders>
              <w:top w:val="single" w:sz="12" w:space="0" w:color="auto"/>
              <w:left w:val="single" w:sz="12" w:space="0" w:color="auto"/>
              <w:bottom w:val="single" w:sz="12" w:space="0" w:color="auto"/>
              <w:right w:val="single" w:sz="12" w:space="0" w:color="auto"/>
            </w:tcBorders>
          </w:tcPr>
          <w:p w14:paraId="35B2423A" w14:textId="77777777" w:rsidR="00F653C8" w:rsidRPr="00082F7B" w:rsidRDefault="00F653C8" w:rsidP="00420CFA">
            <w:pPr>
              <w:shd w:val="clear" w:color="auto" w:fill="FFFFFF" w:themeFill="background1"/>
              <w:jc w:val="center"/>
              <w:rPr>
                <w:rFonts w:asciiTheme="majorHAnsi" w:hAnsiTheme="majorHAnsi"/>
                <w:b/>
                <w:sz w:val="24"/>
                <w:szCs w:val="24"/>
              </w:rPr>
            </w:pPr>
            <w:r w:rsidRPr="00082F7B">
              <w:rPr>
                <w:rFonts w:asciiTheme="majorHAnsi" w:hAnsiTheme="majorHAnsi"/>
                <w:b/>
                <w:sz w:val="24"/>
                <w:szCs w:val="24"/>
              </w:rPr>
              <w:t>UKUPNO</w:t>
            </w:r>
          </w:p>
        </w:tc>
        <w:tc>
          <w:tcPr>
            <w:tcW w:w="1008" w:type="dxa"/>
            <w:tcBorders>
              <w:top w:val="single" w:sz="12" w:space="0" w:color="auto"/>
              <w:left w:val="single" w:sz="12" w:space="0" w:color="auto"/>
              <w:bottom w:val="single" w:sz="12" w:space="0" w:color="auto"/>
              <w:right w:val="single" w:sz="12" w:space="0" w:color="auto"/>
            </w:tcBorders>
          </w:tcPr>
          <w:p w14:paraId="12A38284" w14:textId="77777777" w:rsidR="00F653C8" w:rsidRPr="00082F7B" w:rsidRDefault="00F653C8" w:rsidP="00420CFA">
            <w:pPr>
              <w:shd w:val="clear" w:color="auto" w:fill="FFFFFF" w:themeFill="background1"/>
              <w:jc w:val="center"/>
              <w:rPr>
                <w:rFonts w:asciiTheme="majorHAnsi" w:hAnsiTheme="majorHAnsi"/>
                <w:sz w:val="24"/>
                <w:szCs w:val="24"/>
              </w:rPr>
            </w:pPr>
            <w:r w:rsidRPr="00082F7B">
              <w:rPr>
                <w:rFonts w:asciiTheme="majorHAnsi" w:hAnsiTheme="majorHAnsi"/>
                <w:sz w:val="24"/>
                <w:szCs w:val="24"/>
              </w:rPr>
              <w:t>1</w:t>
            </w:r>
            <w:r w:rsidR="00AF620A" w:rsidRPr="00082F7B">
              <w:rPr>
                <w:rFonts w:asciiTheme="majorHAnsi" w:hAnsiTheme="majorHAnsi"/>
                <w:sz w:val="24"/>
                <w:szCs w:val="24"/>
              </w:rPr>
              <w:t>3</w:t>
            </w:r>
          </w:p>
        </w:tc>
      </w:tr>
    </w:tbl>
    <w:p w14:paraId="1F61B051" w14:textId="77777777" w:rsidR="00F653C8" w:rsidRPr="00082F7B" w:rsidRDefault="00F653C8" w:rsidP="00420CFA">
      <w:pPr>
        <w:shd w:val="clear" w:color="auto" w:fill="FFFFFF" w:themeFill="background1"/>
        <w:spacing w:after="0" w:line="240" w:lineRule="auto"/>
        <w:jc w:val="both"/>
        <w:rPr>
          <w:rFonts w:asciiTheme="majorHAnsi" w:eastAsia="Calibri" w:hAnsiTheme="majorHAnsi" w:cstheme="minorHAnsi"/>
          <w:b/>
          <w:sz w:val="24"/>
          <w:szCs w:val="24"/>
        </w:rPr>
      </w:pPr>
    </w:p>
    <w:p w14:paraId="01B5D5AB" w14:textId="77777777" w:rsidR="00F653C8" w:rsidRPr="00082F7B" w:rsidRDefault="00F653C8" w:rsidP="00420CFA">
      <w:pPr>
        <w:shd w:val="clear" w:color="auto" w:fill="FFFFFF" w:themeFill="background1"/>
        <w:spacing w:after="0" w:line="240" w:lineRule="auto"/>
        <w:jc w:val="both"/>
        <w:rPr>
          <w:rFonts w:asciiTheme="majorHAnsi" w:eastAsia="Calibri" w:hAnsiTheme="majorHAnsi" w:cstheme="minorHAnsi"/>
          <w:sz w:val="24"/>
          <w:szCs w:val="24"/>
        </w:rPr>
      </w:pPr>
      <w:r w:rsidRPr="00082F7B">
        <w:rPr>
          <w:rFonts w:asciiTheme="majorHAnsi" w:eastAsia="Calibri" w:hAnsiTheme="majorHAnsi" w:cstheme="minorHAnsi"/>
          <w:b/>
          <w:sz w:val="24"/>
          <w:szCs w:val="24"/>
        </w:rPr>
        <w:t>Napomena:</w:t>
      </w:r>
      <w:r w:rsidRPr="00082F7B">
        <w:rPr>
          <w:rFonts w:asciiTheme="majorHAnsi" w:eastAsia="Calibri" w:hAnsiTheme="majorHAnsi" w:cstheme="minorHAnsi"/>
          <w:sz w:val="24"/>
          <w:szCs w:val="24"/>
        </w:rPr>
        <w:t xml:space="preserve"> Zaposleni treba da ispunjavaju uslove propisane čl. 93 Zakona o rudarstvu („Sl. list CG“, br. 65/08, 74/10 i 40/11). </w:t>
      </w:r>
    </w:p>
    <w:p w14:paraId="37D2A41D" w14:textId="77777777" w:rsidR="00F653C8" w:rsidRPr="00082F7B" w:rsidRDefault="00F653C8" w:rsidP="00420CFA">
      <w:pPr>
        <w:shd w:val="clear" w:color="auto" w:fill="FFFFFF" w:themeFill="background1"/>
        <w:spacing w:after="0" w:line="240" w:lineRule="auto"/>
        <w:rPr>
          <w:rFonts w:asciiTheme="majorHAnsi" w:eastAsia="Calibri" w:hAnsiTheme="majorHAnsi" w:cstheme="minorHAnsi"/>
          <w:b/>
          <w:sz w:val="24"/>
          <w:szCs w:val="24"/>
        </w:rPr>
      </w:pPr>
    </w:p>
    <w:p w14:paraId="3DDB35DD" w14:textId="77777777" w:rsidR="00F653C8" w:rsidRPr="00082F7B" w:rsidRDefault="00F653C8" w:rsidP="00420CFA">
      <w:pPr>
        <w:shd w:val="clear" w:color="auto" w:fill="FFFFFF" w:themeFill="background1"/>
        <w:spacing w:after="0" w:line="240" w:lineRule="auto"/>
        <w:rPr>
          <w:rFonts w:asciiTheme="majorHAnsi" w:hAnsiTheme="majorHAnsi"/>
          <w:sz w:val="24"/>
          <w:szCs w:val="24"/>
        </w:rPr>
      </w:pPr>
    </w:p>
    <w:p w14:paraId="146F353A" w14:textId="77777777" w:rsidR="00266CEB" w:rsidRPr="00082F7B" w:rsidRDefault="00266CEB" w:rsidP="00266CEB">
      <w:pPr>
        <w:pStyle w:val="Heading2"/>
        <w:keepLines/>
        <w:tabs>
          <w:tab w:val="left" w:pos="1080"/>
        </w:tabs>
        <w:suppressAutoHyphens w:val="0"/>
        <w:spacing w:before="0" w:after="200"/>
        <w:rPr>
          <w:rFonts w:asciiTheme="majorHAnsi" w:hAnsiTheme="majorHAnsi"/>
          <w:szCs w:val="24"/>
        </w:rPr>
      </w:pPr>
      <w:bookmarkStart w:id="54" w:name="_Toc401959420"/>
      <w:bookmarkStart w:id="55" w:name="_Toc401959513"/>
      <w:bookmarkStart w:id="56" w:name="_Toc459633537"/>
      <w:r w:rsidRPr="00082F7B">
        <w:rPr>
          <w:rFonts w:asciiTheme="majorHAnsi" w:hAnsiTheme="majorHAnsi"/>
          <w:szCs w:val="24"/>
        </w:rPr>
        <w:t>Visina sredstava za sanaciju i rekultivaciju</w:t>
      </w:r>
      <w:bookmarkEnd w:id="54"/>
      <w:bookmarkEnd w:id="55"/>
      <w:bookmarkEnd w:id="56"/>
    </w:p>
    <w:p w14:paraId="0959A314" w14:textId="77777777" w:rsidR="00266CEB" w:rsidRPr="00082F7B" w:rsidRDefault="00266CEB" w:rsidP="00266CEB">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sz w:val="24"/>
          <w:szCs w:val="24"/>
          <w:lang w:val="sr-Latn-CS"/>
        </w:rPr>
        <w:t>Visina sredstava za sanaciju i rekultivaciju prostora na kojem se izvode rudarski radovi utvrđena je Uredbom o visina sredstava za sanaciju i rekultivaciju prostora na kojem se izvode rudarski radovi, načinu obračunavanja, plaćanja i korišćenja tih sredstava („Sl. list CG“, br. 51/11).</w:t>
      </w:r>
      <w:r w:rsidRPr="00082F7B">
        <w:rPr>
          <w:rFonts w:asciiTheme="majorHAnsi" w:eastAsia="Times New Roman" w:hAnsiTheme="majorHAnsi" w:cstheme="minorHAnsi"/>
          <w:b/>
          <w:sz w:val="24"/>
          <w:szCs w:val="24"/>
          <w:lang w:val="sr-Latn-CS"/>
        </w:rPr>
        <w:t xml:space="preserve"> </w:t>
      </w:r>
    </w:p>
    <w:p w14:paraId="4ED1E1CC" w14:textId="77777777" w:rsidR="00266CEB" w:rsidRPr="00082F7B" w:rsidRDefault="00266CEB" w:rsidP="00266CEB">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Saglasno navedenoj</w:t>
      </w:r>
      <w:r w:rsidRPr="00082F7B">
        <w:rPr>
          <w:rFonts w:asciiTheme="majorHAnsi" w:eastAsia="Times New Roman" w:hAnsiTheme="majorHAnsi" w:cstheme="minorHAnsi"/>
          <w:sz w:val="24"/>
          <w:szCs w:val="24"/>
          <w:vertAlign w:val="superscript"/>
          <w:lang w:val="sr-Latn-CS"/>
        </w:rPr>
        <w:t xml:space="preserve"> </w:t>
      </w:r>
      <w:r w:rsidRPr="00082F7B">
        <w:rPr>
          <w:rFonts w:asciiTheme="majorHAnsi" w:eastAsia="Times New Roman" w:hAnsiTheme="majorHAnsi" w:cstheme="minorHAnsi"/>
          <w:sz w:val="24"/>
          <w:szCs w:val="24"/>
          <w:lang w:val="sr-Latn-CS"/>
        </w:rPr>
        <w:t>Uredbi, visina sredstava utvrđuje se za svaku jedinicu mineralne sirovine na osnovu:</w:t>
      </w:r>
    </w:p>
    <w:p w14:paraId="64D03D67" w14:textId="77777777" w:rsidR="00266CEB" w:rsidRPr="00082F7B" w:rsidRDefault="00266CEB" w:rsidP="00266CEB">
      <w:pPr>
        <w:numPr>
          <w:ilvl w:val="0"/>
          <w:numId w:val="21"/>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ukupne količine mineralne sirovine u ležištu predviđene za eksploataciju</w:t>
      </w:r>
      <w:r w:rsidRPr="00082F7B">
        <w:rPr>
          <w:rFonts w:asciiTheme="majorHAnsi" w:eastAsia="Times New Roman" w:hAnsiTheme="majorHAnsi" w:cstheme="minorHAnsi"/>
          <w:sz w:val="24"/>
          <w:szCs w:val="24"/>
          <w:vertAlign w:val="superscript"/>
          <w:lang w:val="sr-Latn-CS"/>
        </w:rPr>
        <w:t xml:space="preserve"> </w:t>
      </w:r>
      <w:r w:rsidRPr="00082F7B">
        <w:rPr>
          <w:rFonts w:asciiTheme="majorHAnsi" w:eastAsia="Times New Roman" w:hAnsiTheme="majorHAnsi" w:cstheme="minorHAnsi"/>
          <w:sz w:val="24"/>
          <w:szCs w:val="24"/>
          <w:lang w:val="sr-Latn-CS"/>
        </w:rPr>
        <w:t>ugovorom o koncesiji i odobrenim rudarskim projektom;</w:t>
      </w:r>
    </w:p>
    <w:p w14:paraId="23D080A5" w14:textId="77777777" w:rsidR="00266CEB" w:rsidRPr="00082F7B" w:rsidRDefault="00266CEB" w:rsidP="00266CEB">
      <w:pPr>
        <w:numPr>
          <w:ilvl w:val="0"/>
          <w:numId w:val="21"/>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roka trajanja prava na eksploataciju prema Ugovoru o koncesiji; i</w:t>
      </w:r>
    </w:p>
    <w:p w14:paraId="10E406D2" w14:textId="77777777" w:rsidR="00266CEB" w:rsidRPr="00082F7B" w:rsidRDefault="00266CEB" w:rsidP="00266CEB">
      <w:pPr>
        <w:numPr>
          <w:ilvl w:val="0"/>
          <w:numId w:val="21"/>
        </w:numPr>
        <w:suppressAutoHyphens w:val="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predračuna potrebnih sredstava za djelimičnu i konačnu rekultivaciju, utvrđenih odobrenim Glavnim rudarskim projektom eksploatacije, odnosno, tehničkim projektom rekultivacije.</w:t>
      </w:r>
    </w:p>
    <w:p w14:paraId="16E667B4" w14:textId="77777777" w:rsidR="00266CEB" w:rsidRPr="00082F7B" w:rsidRDefault="00266CEB" w:rsidP="00266CEB">
      <w:pPr>
        <w:jc w:val="both"/>
        <w:rPr>
          <w:rFonts w:asciiTheme="majorHAnsi" w:eastAsia="Times New Roman" w:hAnsiTheme="majorHAnsi" w:cstheme="minorHAnsi"/>
          <w:sz w:val="24"/>
          <w:szCs w:val="24"/>
          <w:shd w:val="clear" w:color="auto" w:fill="F79646" w:themeFill="accent6"/>
          <w:lang w:val="sr-Latn-CS"/>
        </w:rPr>
      </w:pPr>
      <w:r w:rsidRPr="00082F7B">
        <w:rPr>
          <w:rFonts w:asciiTheme="majorHAnsi" w:eastAsia="Times New Roman" w:hAnsiTheme="majorHAnsi" w:cstheme="minorHAnsi"/>
          <w:sz w:val="24"/>
          <w:szCs w:val="24"/>
          <w:lang w:val="sr-Latn-CS"/>
        </w:rPr>
        <w:lastRenderedPageBreak/>
        <w:t>Prema tome, visinu sredstava, kao i dinamiku izvođenja radova, nije moguće utvrditi do izrade odgovarajućeg projekta. Poslije završetka eksploatacije na formiranom platou, mora se, saglasno projektnim rješenjima, odmah pristupiti rekultivaciji istog.</w:t>
      </w:r>
    </w:p>
    <w:p w14:paraId="20252DD3" w14:textId="77777777" w:rsidR="00266CEB" w:rsidRPr="00082F7B" w:rsidRDefault="00266CEB" w:rsidP="00266CEB">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Kod eksploatacije, u ovom slučaju, ne stvaraju se velike degradirane površine. Ovdje dolazi do eliminacije etaža i etažne ravni se ne rekultivišu, pa je iz tog razloga potrebna manji iznos finansijskih sredstava za rekultivaciju.</w:t>
      </w:r>
    </w:p>
    <w:p w14:paraId="4D5BAB6D" w14:textId="77777777" w:rsidR="00266CEB" w:rsidRPr="00082F7B" w:rsidRDefault="00266CEB" w:rsidP="00266CEB">
      <w:pPr>
        <w:pStyle w:val="Heading2"/>
        <w:keepLines/>
        <w:tabs>
          <w:tab w:val="left" w:pos="1080"/>
        </w:tabs>
        <w:suppressAutoHyphens w:val="0"/>
        <w:spacing w:before="0" w:after="200"/>
        <w:rPr>
          <w:rFonts w:asciiTheme="majorHAnsi" w:hAnsiTheme="majorHAnsi"/>
          <w:szCs w:val="24"/>
        </w:rPr>
      </w:pPr>
      <w:bookmarkStart w:id="57" w:name="_Toc401959421"/>
      <w:bookmarkStart w:id="58" w:name="_Toc401959514"/>
      <w:bookmarkStart w:id="59" w:name="_Toc435529009"/>
      <w:bookmarkStart w:id="60" w:name="_Toc436124878"/>
      <w:bookmarkStart w:id="61" w:name="_Toc459633538"/>
      <w:r w:rsidRPr="00082F7B">
        <w:rPr>
          <w:rFonts w:asciiTheme="majorHAnsi" w:hAnsiTheme="majorHAnsi"/>
          <w:szCs w:val="24"/>
        </w:rPr>
        <w:t>Iznos koncesione naknade</w:t>
      </w:r>
      <w:bookmarkEnd w:id="57"/>
      <w:bookmarkEnd w:id="58"/>
      <w:bookmarkEnd w:id="59"/>
      <w:bookmarkEnd w:id="60"/>
      <w:bookmarkEnd w:id="61"/>
    </w:p>
    <w:p w14:paraId="50CC6224" w14:textId="77777777" w:rsidR="00266CEB" w:rsidRPr="00082F7B" w:rsidRDefault="00266CEB" w:rsidP="00266CEB">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Iznos koncesione naknade je obrađen u posebnom poglavlju. Početni minimalni iznos koncesione naknade iznosi 7% od vrijednosti mineralne sirovine.</w:t>
      </w:r>
    </w:p>
    <w:p w14:paraId="4BDDEE59" w14:textId="0127E857" w:rsidR="00266CEB" w:rsidRPr="00082F7B" w:rsidRDefault="00266CEB" w:rsidP="00266CEB">
      <w:pPr>
        <w:jc w:val="both"/>
        <w:rPr>
          <w:rFonts w:asciiTheme="majorHAnsi" w:eastAsia="Times New Roman" w:hAnsiTheme="majorHAnsi" w:cstheme="minorHAnsi"/>
          <w:b/>
          <w:sz w:val="24"/>
          <w:szCs w:val="24"/>
          <w:lang w:val="sr-Latn-CS"/>
        </w:rPr>
      </w:pPr>
      <w:r w:rsidRPr="00082F7B">
        <w:rPr>
          <w:rFonts w:asciiTheme="majorHAnsi" w:eastAsia="Times New Roman" w:hAnsiTheme="majorHAnsi" w:cstheme="minorHAnsi"/>
          <w:b/>
          <w:sz w:val="24"/>
          <w:szCs w:val="24"/>
          <w:lang w:val="sr-Latn-CS"/>
        </w:rPr>
        <w:t>Za minimalnu godišnju pr</w:t>
      </w:r>
      <w:r w:rsidR="00F10732" w:rsidRPr="00082F7B">
        <w:rPr>
          <w:rFonts w:asciiTheme="majorHAnsi" w:eastAsia="Times New Roman" w:hAnsiTheme="majorHAnsi" w:cstheme="minorHAnsi"/>
          <w:b/>
          <w:sz w:val="24"/>
          <w:szCs w:val="24"/>
          <w:lang w:val="sr-Latn-CS"/>
        </w:rPr>
        <w:t>oizvodnju tehničko-građevinskog</w:t>
      </w:r>
      <w:r w:rsidRPr="00082F7B">
        <w:rPr>
          <w:rFonts w:asciiTheme="majorHAnsi" w:eastAsia="Times New Roman" w:hAnsiTheme="majorHAnsi" w:cstheme="minorHAnsi"/>
          <w:b/>
          <w:sz w:val="24"/>
          <w:szCs w:val="24"/>
          <w:lang w:val="sr-Latn-CS"/>
        </w:rPr>
        <w:t xml:space="preserve"> kamena od 1</w:t>
      </w:r>
      <w:r w:rsidR="009F02D2" w:rsidRPr="00082F7B">
        <w:rPr>
          <w:rFonts w:asciiTheme="majorHAnsi" w:eastAsia="Times New Roman" w:hAnsiTheme="majorHAnsi" w:cstheme="minorHAnsi"/>
          <w:b/>
          <w:sz w:val="24"/>
          <w:szCs w:val="24"/>
          <w:lang w:val="sr-Latn-CS"/>
        </w:rPr>
        <w:t>4</w:t>
      </w:r>
      <w:r w:rsidRPr="00082F7B">
        <w:rPr>
          <w:rFonts w:asciiTheme="majorHAnsi" w:eastAsia="Times New Roman" w:hAnsiTheme="majorHAnsi" w:cstheme="minorHAnsi"/>
          <w:b/>
          <w:sz w:val="24"/>
          <w:szCs w:val="24"/>
          <w:lang w:val="sr-Latn-CS"/>
        </w:rPr>
        <w:t>.000 m</w:t>
      </w:r>
      <w:r w:rsidRPr="00082F7B">
        <w:rPr>
          <w:rFonts w:asciiTheme="majorHAnsi" w:eastAsia="Times New Roman" w:hAnsiTheme="majorHAnsi" w:cstheme="minorHAnsi"/>
          <w:b/>
          <w:sz w:val="24"/>
          <w:szCs w:val="24"/>
          <w:vertAlign w:val="superscript"/>
          <w:lang w:val="sr-Latn-CS"/>
        </w:rPr>
        <w:t>3</w:t>
      </w:r>
      <w:r w:rsidRPr="00082F7B">
        <w:rPr>
          <w:rFonts w:asciiTheme="majorHAnsi" w:eastAsia="Times New Roman" w:hAnsiTheme="majorHAnsi" w:cstheme="minorHAnsi"/>
          <w:b/>
          <w:sz w:val="24"/>
          <w:szCs w:val="24"/>
          <w:lang w:val="sr-Latn-CS"/>
        </w:rPr>
        <w:t xml:space="preserve"> čsm godišnja koncesiona naknada, kao stalni dio, iznosi </w:t>
      </w:r>
      <w:r w:rsidR="00F10732" w:rsidRPr="00082F7B">
        <w:rPr>
          <w:rFonts w:asciiTheme="majorHAnsi" w:eastAsia="Times New Roman" w:hAnsiTheme="majorHAnsi" w:cstheme="minorHAnsi"/>
          <w:b/>
          <w:sz w:val="24"/>
          <w:szCs w:val="24"/>
          <w:lang w:val="sr-Latn-CS"/>
        </w:rPr>
        <w:t>23.387</w:t>
      </w:r>
      <w:r w:rsidRPr="00082F7B">
        <w:rPr>
          <w:rFonts w:asciiTheme="majorHAnsi" w:eastAsia="Times New Roman" w:hAnsiTheme="majorHAnsi" w:cstheme="minorHAnsi"/>
          <w:b/>
          <w:sz w:val="24"/>
          <w:szCs w:val="24"/>
          <w:lang w:val="sr-Latn-CS"/>
        </w:rPr>
        <w:t>,</w:t>
      </w:r>
      <w:r w:rsidR="00F10732" w:rsidRPr="00082F7B">
        <w:rPr>
          <w:rFonts w:asciiTheme="majorHAnsi" w:eastAsia="Times New Roman" w:hAnsiTheme="majorHAnsi" w:cstheme="minorHAnsi"/>
          <w:b/>
          <w:sz w:val="24"/>
          <w:szCs w:val="24"/>
          <w:lang w:val="sr-Latn-CS"/>
        </w:rPr>
        <w:t>7</w:t>
      </w:r>
      <w:r w:rsidRPr="00082F7B">
        <w:rPr>
          <w:rFonts w:asciiTheme="majorHAnsi" w:eastAsia="Times New Roman" w:hAnsiTheme="majorHAnsi" w:cstheme="minorHAnsi"/>
          <w:b/>
          <w:sz w:val="24"/>
          <w:szCs w:val="24"/>
          <w:lang w:val="sr-Latn-CS"/>
        </w:rPr>
        <w:t xml:space="preserve">0 €. </w:t>
      </w:r>
    </w:p>
    <w:p w14:paraId="4A455C5F" w14:textId="1C0D9C0F" w:rsidR="00266CEB" w:rsidRPr="00082F7B" w:rsidRDefault="00266CEB" w:rsidP="00266CEB">
      <w:pPr>
        <w:shd w:val="clear" w:color="auto" w:fill="FFFFFF" w:themeFill="background1"/>
        <w:spacing w:after="0" w:line="240" w:lineRule="auto"/>
        <w:rPr>
          <w:rFonts w:asciiTheme="majorHAnsi" w:hAnsiTheme="majorHAnsi"/>
          <w:sz w:val="24"/>
          <w:szCs w:val="24"/>
          <w:lang w:val="sr-Latn-CS"/>
        </w:rPr>
      </w:pPr>
      <w:r w:rsidRPr="00082F7B">
        <w:rPr>
          <w:rFonts w:asciiTheme="majorHAnsi" w:eastAsia="Times New Roman" w:hAnsiTheme="majorHAnsi" w:cstheme="minorHAnsi"/>
          <w:sz w:val="24"/>
          <w:szCs w:val="24"/>
          <w:lang w:val="sr-Latn-CS"/>
        </w:rPr>
        <w:t>Iznos stalnog dijela koncesione naknade može biti veći, a utvrđuje se Ugovorom o koncesiji u zavisnosti od ponuđenog obima proizvodnje i ponuđenog procentualnog iznosa za obračun</w:t>
      </w:r>
    </w:p>
    <w:p w14:paraId="61F581C0" w14:textId="77777777" w:rsidR="00266CEB" w:rsidRPr="00082F7B" w:rsidRDefault="00266CEB" w:rsidP="00420CFA">
      <w:pPr>
        <w:shd w:val="clear" w:color="auto" w:fill="FFFFFF" w:themeFill="background1"/>
        <w:spacing w:after="0" w:line="240" w:lineRule="auto"/>
        <w:rPr>
          <w:rFonts w:asciiTheme="majorHAnsi" w:hAnsiTheme="majorHAnsi"/>
          <w:sz w:val="24"/>
          <w:szCs w:val="24"/>
          <w:lang w:val="sr-Latn-CS"/>
        </w:rPr>
      </w:pPr>
    </w:p>
    <w:p w14:paraId="227F8967" w14:textId="77777777" w:rsidR="00266CEB" w:rsidRPr="00082F7B" w:rsidRDefault="00266CEB" w:rsidP="00420CFA">
      <w:pPr>
        <w:shd w:val="clear" w:color="auto" w:fill="FFFFFF" w:themeFill="background1"/>
        <w:spacing w:after="0" w:line="240" w:lineRule="auto"/>
        <w:rPr>
          <w:rFonts w:asciiTheme="majorHAnsi" w:hAnsiTheme="majorHAnsi"/>
          <w:sz w:val="24"/>
          <w:szCs w:val="24"/>
          <w:lang w:val="sr-Latn-CS"/>
        </w:rPr>
      </w:pPr>
    </w:p>
    <w:p w14:paraId="1DAE317C" w14:textId="55498F16" w:rsidR="00F653C8" w:rsidRPr="00082F7B" w:rsidRDefault="00F653C8" w:rsidP="00266CEB">
      <w:pPr>
        <w:pStyle w:val="Heading1"/>
        <w:rPr>
          <w:rFonts w:asciiTheme="majorHAnsi" w:hAnsiTheme="majorHAnsi"/>
          <w:szCs w:val="28"/>
        </w:rPr>
      </w:pPr>
      <w:bookmarkStart w:id="62" w:name="_Toc402262948"/>
      <w:bookmarkStart w:id="63" w:name="_Toc459633539"/>
      <w:r w:rsidRPr="00082F7B">
        <w:rPr>
          <w:rFonts w:asciiTheme="majorHAnsi" w:hAnsiTheme="majorHAnsi"/>
          <w:szCs w:val="28"/>
        </w:rPr>
        <w:t>Mjere za zaštitu životne sredine</w:t>
      </w:r>
      <w:bookmarkEnd w:id="62"/>
      <w:bookmarkEnd w:id="63"/>
    </w:p>
    <w:p w14:paraId="3EAD1F7D" w14:textId="77777777" w:rsidR="00F653C8" w:rsidRPr="00082F7B" w:rsidRDefault="00F653C8" w:rsidP="00E8576A">
      <w:pPr>
        <w:spacing w:after="0" w:line="240" w:lineRule="auto"/>
        <w:jc w:val="both"/>
        <w:rPr>
          <w:rFonts w:asciiTheme="majorHAnsi" w:hAnsiTheme="majorHAnsi" w:cstheme="minorHAnsi"/>
          <w:sz w:val="24"/>
          <w:szCs w:val="24"/>
        </w:rPr>
      </w:pPr>
    </w:p>
    <w:p w14:paraId="129DD627"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Detaljna geološka istraživanja u manjoj mjeri mogu imati uticaj na životnu sredinu, dok eksploatacija i obrada mineralne sirovine, a time i tehničko-građevinskog kamena, je proces koji se, sa aspekta ekologije, smatra rizičnim.</w:t>
      </w:r>
    </w:p>
    <w:p w14:paraId="4C2D648B" w14:textId="77777777" w:rsidR="00F653C8" w:rsidRPr="00082F7B" w:rsidRDefault="00F653C8" w:rsidP="00E8576A">
      <w:pPr>
        <w:spacing w:after="0" w:line="240" w:lineRule="auto"/>
        <w:jc w:val="both"/>
        <w:rPr>
          <w:rFonts w:asciiTheme="majorHAnsi" w:hAnsiTheme="majorHAnsi" w:cstheme="minorHAnsi"/>
          <w:sz w:val="24"/>
          <w:szCs w:val="24"/>
        </w:rPr>
      </w:pPr>
    </w:p>
    <w:p w14:paraId="04770230"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 zakonskim propisima koji regulušu zaštitu životne sredine naglašeni su osnovni principi njene zaštite, i to: prirodnih vrijednosti zemljišta, vode i vazduha, kao i biodiverziteta (biljni i životinjski svijet).</w:t>
      </w:r>
    </w:p>
    <w:p w14:paraId="649BAF2C" w14:textId="77777777" w:rsidR="00F653C8" w:rsidRPr="00082F7B" w:rsidRDefault="00F653C8" w:rsidP="00E8576A">
      <w:pPr>
        <w:spacing w:after="0" w:line="240" w:lineRule="auto"/>
        <w:jc w:val="both"/>
        <w:rPr>
          <w:rFonts w:asciiTheme="majorHAnsi" w:hAnsiTheme="majorHAnsi" w:cstheme="minorHAnsi"/>
          <w:sz w:val="24"/>
          <w:szCs w:val="24"/>
        </w:rPr>
      </w:pPr>
    </w:p>
    <w:p w14:paraId="439C0C9E"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Shodno naprijed navedenom, Koncesinar je dužan da na istražno-eks</w:t>
      </w:r>
      <w:r w:rsidR="00E8576A" w:rsidRPr="00082F7B">
        <w:rPr>
          <w:rFonts w:asciiTheme="majorHAnsi" w:hAnsiTheme="majorHAnsi" w:cstheme="minorHAnsi"/>
          <w:sz w:val="24"/>
          <w:szCs w:val="24"/>
        </w:rPr>
        <w:t>ploatacionom prostoru „Štitarica-Taskavac</w:t>
      </w:r>
      <w:r w:rsidRPr="00082F7B">
        <w:rPr>
          <w:rFonts w:asciiTheme="majorHAnsi" w:hAnsiTheme="majorHAnsi" w:cstheme="minorHAnsi"/>
          <w:sz w:val="24"/>
          <w:szCs w:val="24"/>
        </w:rPr>
        <w:t>“, pri planiranju i sprovođenju investicionog zahvata, sprovode postupak prethodne procjene uticaja na životnu sredinu, u sladu sa zakonom.</w:t>
      </w:r>
    </w:p>
    <w:p w14:paraId="549CD6E0" w14:textId="77777777" w:rsidR="00F653C8" w:rsidRPr="00082F7B" w:rsidRDefault="00F653C8" w:rsidP="00E8576A">
      <w:pPr>
        <w:spacing w:after="0" w:line="240" w:lineRule="auto"/>
        <w:jc w:val="both"/>
        <w:rPr>
          <w:rFonts w:asciiTheme="majorHAnsi" w:hAnsiTheme="majorHAnsi" w:cstheme="minorHAnsi"/>
          <w:sz w:val="24"/>
          <w:szCs w:val="24"/>
        </w:rPr>
      </w:pPr>
    </w:p>
    <w:p w14:paraId="1FEC222C"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 xml:space="preserve">Rudarska aktivnost neminovno dovodi do nepovoljnih, odnosno, negativnih uticaja na životnu sredinu. U prvom redu, nepovoljni uticaji eksploatacije i obrade predmetne mineralne sirovine se odnose na značajniju promjenu reljefa, odnosno, značajniji uticaj na pejzaž, povećanu buku i neznatno zagađenje vazduha izduvnim gasovima i kamenom prašinom. </w:t>
      </w:r>
    </w:p>
    <w:p w14:paraId="40E7C0CF" w14:textId="77777777" w:rsidR="00F653C8" w:rsidRPr="00082F7B" w:rsidRDefault="00F653C8" w:rsidP="00E8576A">
      <w:pPr>
        <w:spacing w:after="0" w:line="240" w:lineRule="auto"/>
        <w:jc w:val="both"/>
        <w:rPr>
          <w:rFonts w:asciiTheme="majorHAnsi" w:hAnsiTheme="majorHAnsi" w:cstheme="minorHAnsi"/>
          <w:sz w:val="24"/>
          <w:szCs w:val="24"/>
        </w:rPr>
      </w:pPr>
    </w:p>
    <w:p w14:paraId="15DCA257"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lastRenderedPageBreak/>
        <w:t>Shodno ovome, ekološko-tehnički uslovi treba da obezbijede zaštitu od uticaja buke, vibracija, prašine i dugih štetnih uticaja po okolinu. Ove zahtjeve Koncesionar treba imati u vidu prilikom izbora opreme i mehanizacije, odnosno, da se od proizvođača istih posjeduje garancija za ispunjavanje zakonom propisanih standarda.</w:t>
      </w:r>
    </w:p>
    <w:p w14:paraId="4C4C8E9D" w14:textId="77777777" w:rsidR="00F653C8" w:rsidRPr="00082F7B" w:rsidRDefault="00F653C8" w:rsidP="00E8576A">
      <w:pPr>
        <w:spacing w:after="0" w:line="240" w:lineRule="auto"/>
        <w:jc w:val="both"/>
        <w:rPr>
          <w:rFonts w:asciiTheme="majorHAnsi" w:hAnsiTheme="majorHAnsi" w:cstheme="minorHAnsi"/>
          <w:sz w:val="24"/>
          <w:szCs w:val="24"/>
        </w:rPr>
      </w:pPr>
    </w:p>
    <w:p w14:paraId="300800EA"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Nadležni državni organ procjenjuje potrebu izrade Elaborata o procjeni uticaja zahvata na životnu sredinu, koji se radi u skladu sa Zakonom o procjeni uticaja zahvata na životnu sredinu („Sl. list RCG“, br. 80/05 i „Sl. list CG“, br. 40/10, 73/10, 40/11 i 27/13).</w:t>
      </w:r>
    </w:p>
    <w:p w14:paraId="3E17EFB8" w14:textId="77777777" w:rsidR="00F653C8" w:rsidRPr="00082F7B" w:rsidRDefault="00F653C8" w:rsidP="00E8576A">
      <w:pPr>
        <w:spacing w:after="0" w:line="240" w:lineRule="auto"/>
        <w:jc w:val="both"/>
        <w:rPr>
          <w:rFonts w:asciiTheme="majorHAnsi" w:hAnsiTheme="majorHAnsi" w:cstheme="minorHAnsi"/>
          <w:sz w:val="24"/>
          <w:szCs w:val="24"/>
        </w:rPr>
      </w:pPr>
    </w:p>
    <w:p w14:paraId="37543019"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S obzirom na značaj očuvanja životne sredine, Koncesionar je dužan da se pridržava svih mjera zaštite u skladu sa zakonskim propisima.</w:t>
      </w:r>
    </w:p>
    <w:p w14:paraId="33C60926" w14:textId="77777777" w:rsidR="00F653C8" w:rsidRPr="00082F7B" w:rsidRDefault="00F653C8" w:rsidP="00E8576A">
      <w:pPr>
        <w:spacing w:after="0" w:line="240" w:lineRule="auto"/>
        <w:jc w:val="both"/>
        <w:rPr>
          <w:rFonts w:asciiTheme="majorHAnsi" w:hAnsiTheme="majorHAnsi" w:cstheme="minorHAnsi"/>
          <w:sz w:val="24"/>
          <w:szCs w:val="24"/>
        </w:rPr>
      </w:pPr>
    </w:p>
    <w:p w14:paraId="4F59B705"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Zakonska regulativa koja uređuje ovu djelatnost je sljedeća:</w:t>
      </w:r>
    </w:p>
    <w:p w14:paraId="3FCF07D8" w14:textId="77777777" w:rsidR="00F653C8" w:rsidRPr="00082F7B" w:rsidRDefault="00F653C8" w:rsidP="00E8576A">
      <w:pPr>
        <w:spacing w:after="0" w:line="240" w:lineRule="auto"/>
        <w:jc w:val="both"/>
        <w:rPr>
          <w:rFonts w:asciiTheme="majorHAnsi" w:hAnsiTheme="majorHAnsi" w:cstheme="minorHAnsi"/>
          <w:sz w:val="24"/>
          <w:szCs w:val="24"/>
        </w:rPr>
      </w:pPr>
    </w:p>
    <w:p w14:paraId="046CB8D2"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Zakon o procjeni uticaja zahvata na životnu sredinu („Sl. list RCG“, br. 80/05 i „Sl. list CG“, br. 40/10, 73/10, 40/11 i 27/13);</w:t>
      </w:r>
    </w:p>
    <w:p w14:paraId="59FB117A"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Zakon o zaštiti prirode („Sl. list CG“, br. 51/08, 21/09, 40/11 i 62/13);</w:t>
      </w:r>
    </w:p>
    <w:p w14:paraId="0FDA5036"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Uredba o projektima za koje se vrši procjena uticaja na životnu sredinu („Sl. list RCG“, br. 20/07 i „Sl. list CG“, br. 47/13);</w:t>
      </w:r>
    </w:p>
    <w:p w14:paraId="4543E7C1"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Uredba o visini naknada, načinu obračuna i plaćanja naknada zbog zagađenja životne sredine („Sl. list RCG“, br. 26/97, 09/00 i 52/00 i „Sl. list CG“, br. 33/08, 05/09, 64/09, 40/11 i 49/11);</w:t>
      </w:r>
    </w:p>
    <w:p w14:paraId="591EC389"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Pravilnik o sadržaju dokumentacije koja se podnosi uz zahtjev za odlučivanje o potrebi procjene uticaja na životnu sredinu („Sl. list CG“, br. 14/07);</w:t>
      </w:r>
    </w:p>
    <w:p w14:paraId="0C40323E"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Pravilnik o sadržaju dokumentacije koja se podnosi uz zahtjev za određivanje obima i sadržaja Elaborata o procjeni uticaja na životnu sredinu („Sl. list CG“, br. 14/07); i</w:t>
      </w:r>
    </w:p>
    <w:p w14:paraId="15D43557" w14:textId="77777777" w:rsidR="00F653C8" w:rsidRPr="00082F7B" w:rsidRDefault="00F653C8" w:rsidP="00266CEB">
      <w:pPr>
        <w:pStyle w:val="ListParagraph"/>
        <w:numPr>
          <w:ilvl w:val="0"/>
          <w:numId w:val="2"/>
        </w:num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Pravilnik o sadržini Elaborata o procjeni uticaja na životnu sredinu („Sl. list CG“, br. 14/07).</w:t>
      </w:r>
    </w:p>
    <w:p w14:paraId="090F02A8" w14:textId="77777777" w:rsidR="00BE4431" w:rsidRPr="00082F7B" w:rsidRDefault="00BE4431" w:rsidP="00BE4431">
      <w:pPr>
        <w:pStyle w:val="ListParagraph"/>
        <w:spacing w:after="0" w:line="240" w:lineRule="auto"/>
        <w:jc w:val="both"/>
        <w:rPr>
          <w:rFonts w:asciiTheme="majorHAnsi" w:hAnsiTheme="majorHAnsi" w:cstheme="minorHAnsi"/>
          <w:sz w:val="24"/>
          <w:szCs w:val="24"/>
        </w:rPr>
      </w:pPr>
    </w:p>
    <w:p w14:paraId="1FE5956A" w14:textId="77777777" w:rsidR="00F653C8" w:rsidRPr="00082F7B" w:rsidRDefault="00F653C8" w:rsidP="00E8576A">
      <w:pPr>
        <w:spacing w:after="0" w:line="240" w:lineRule="auto"/>
        <w:rPr>
          <w:rFonts w:asciiTheme="majorHAnsi" w:hAnsiTheme="majorHAnsi" w:cstheme="minorHAnsi"/>
          <w:sz w:val="24"/>
          <w:szCs w:val="24"/>
        </w:rPr>
      </w:pPr>
    </w:p>
    <w:p w14:paraId="2751121A" w14:textId="4F87780E" w:rsidR="00266CEB" w:rsidRPr="00082F7B" w:rsidRDefault="00266CEB" w:rsidP="00266CEB">
      <w:pPr>
        <w:pStyle w:val="Heading1"/>
        <w:rPr>
          <w:rFonts w:asciiTheme="majorHAnsi" w:hAnsiTheme="majorHAnsi"/>
          <w:szCs w:val="28"/>
          <w:lang w:val="sr-Latn-CS"/>
        </w:rPr>
      </w:pPr>
      <w:bookmarkStart w:id="64" w:name="_Toc435529011"/>
      <w:bookmarkStart w:id="65" w:name="_Toc436124880"/>
      <w:bookmarkStart w:id="66" w:name="_Toc390549903"/>
      <w:bookmarkStart w:id="67" w:name="_Toc401959429"/>
      <w:bookmarkStart w:id="68" w:name="_Toc401959522"/>
      <w:bookmarkStart w:id="69" w:name="_Toc402262955"/>
      <w:bookmarkStart w:id="70" w:name="_Toc459633540"/>
      <w:r w:rsidRPr="00082F7B">
        <w:rPr>
          <w:rFonts w:asciiTheme="majorHAnsi" w:hAnsiTheme="majorHAnsi"/>
          <w:szCs w:val="28"/>
          <w:lang w:val="sr-Latn-CS"/>
        </w:rPr>
        <w:t>Rekultivacija istražno-eksploatacionog prostora</w:t>
      </w:r>
      <w:bookmarkEnd w:id="70"/>
      <w:r w:rsidRPr="00082F7B">
        <w:rPr>
          <w:rFonts w:asciiTheme="majorHAnsi" w:hAnsiTheme="majorHAnsi"/>
          <w:szCs w:val="28"/>
          <w:lang w:val="sr-Latn-CS"/>
        </w:rPr>
        <w:t xml:space="preserve"> </w:t>
      </w:r>
      <w:bookmarkEnd w:id="64"/>
      <w:bookmarkEnd w:id="65"/>
      <w:bookmarkEnd w:id="66"/>
      <w:bookmarkEnd w:id="67"/>
      <w:bookmarkEnd w:id="68"/>
    </w:p>
    <w:p w14:paraId="6C302833" w14:textId="77777777" w:rsidR="00266CEB" w:rsidRPr="00082F7B" w:rsidRDefault="00266CEB" w:rsidP="00266CEB">
      <w:pPr>
        <w:spacing w:after="0" w:line="240" w:lineRule="auto"/>
        <w:rPr>
          <w:rFonts w:asciiTheme="majorHAnsi" w:hAnsiTheme="majorHAnsi" w:cstheme="minorHAnsi"/>
          <w:sz w:val="24"/>
          <w:szCs w:val="24"/>
        </w:rPr>
      </w:pPr>
    </w:p>
    <w:p w14:paraId="0E83304B"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Kao rezultat izvođenja rudarskih radova na istražno-eksploatacionom prostoru javlja se drastična promjena izgleda terena. Novi zakonski uslovi za eksploataciju mineralnih sirovina zahtijevaju da se, nakon završene eksploatacije, izvrši rekultivacija prostora koji će biti degradiran obavljanjem koncesione djelatnosti, a sve to u cilju poboljšanja ekoloških uslova na samom lokalitetu i neposrednoj okolini.</w:t>
      </w:r>
    </w:p>
    <w:p w14:paraId="59E05D93"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Ako bi se degradirane površine ostavile, nakon izvođenja radova na eksploataciji, u istom stanju, mogu se očekivati neki od sljedećih negativnih uticaja:</w:t>
      </w:r>
    </w:p>
    <w:p w14:paraId="0F72B050" w14:textId="77777777" w:rsidR="00266CEB" w:rsidRPr="00082F7B" w:rsidRDefault="00266CEB" w:rsidP="00266CEB">
      <w:pPr>
        <w:pStyle w:val="ListParagraph"/>
        <w:numPr>
          <w:ilvl w:val="0"/>
          <w:numId w:val="22"/>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lastRenderedPageBreak/>
        <w:t>produžavanje nepovoljnog uticaja pejzažnog izgleda terena,</w:t>
      </w:r>
    </w:p>
    <w:p w14:paraId="3DE2B3B8" w14:textId="77777777" w:rsidR="00266CEB" w:rsidRPr="00082F7B" w:rsidRDefault="00266CEB" w:rsidP="00266CEB">
      <w:pPr>
        <w:pStyle w:val="ListParagraph"/>
        <w:numPr>
          <w:ilvl w:val="0"/>
          <w:numId w:val="22"/>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pogoršavanje stanja degradiranih površina zbog pojave erozije, klizišta i sl.,</w:t>
      </w:r>
    </w:p>
    <w:p w14:paraId="3D157EB3" w14:textId="77777777" w:rsidR="00266CEB" w:rsidRPr="00082F7B" w:rsidRDefault="00266CEB" w:rsidP="00266CEB">
      <w:pPr>
        <w:pStyle w:val="ListParagraph"/>
        <w:numPr>
          <w:ilvl w:val="0"/>
          <w:numId w:val="22"/>
        </w:numPr>
        <w:suppressAutoHyphens w:val="0"/>
        <w:contextualSpacing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produžavanje negativnih uticaja na vazduh i okolno zemljište (podizanje prašine izazvane vjetrom, odnošenje materijala površinskim – atmosferskim vodama).</w:t>
      </w:r>
    </w:p>
    <w:p w14:paraId="7CAA5F3B"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Osnovni cilj rekultivacije je da se prostoru, na kojem će biti vršena eksploatacija, da prirodna vrijednost slična ili bolja od prvobitne, što je, prema procijenjenim sadašnjim uslovima na ovom lokalitetu, sasvim moguće. </w:t>
      </w:r>
    </w:p>
    <w:p w14:paraId="2F146234"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Treba istaći, prije svega, da na površinskim kopovima, u mnogim industrijalizovanim zemljama, obnavljanje okoline nije više stvar izbora rudnika. Zakoni u vezi s tim su postali mnogo strožiji, a provjere češće, tako da je za kompanije, koje se bave eksploatacijom, obavezno da rekultivišu prostor na kome je završena eksploatacija mineralne sirovine. Svakako, i Crna Gora ima zakonske propise usaglašene sa standardima Evropske unije koji tretiraju rudarsku djelatnost, a u sklopu toga i obaveze Koncesionara za pridržavanje mjera zaštite životne i radne sredine i rekultivacije degradiranog prostora (Zakon o koncesijama, Zakon o rudarstvu i propisi iz oblasti zaštite životne sredine).</w:t>
      </w:r>
    </w:p>
    <w:p w14:paraId="3C0843D3"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Dakle, problem rekultivacije više nije problem kao ranije, jer je sasvim normalno da u jednom procesu narušavanja geoekološkog ambijenta, postoji faza “obnove” prostora u kojem je egzistirao rudnik.</w:t>
      </w:r>
    </w:p>
    <w:p w14:paraId="241ED4D0"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Zbog velike važnosti ove faze rada, zakonskim propisima utvrđena je obaveza izrade projektnih rješenja rekultivacije, izradom Glavnog rudarskog projekta (Pravilnik o sadržaju rudarskih projekata) ili izradom posebnog tehničkog projekta rekultivacije, koji je sastavni dio Glavnog rudarskog projekta.</w:t>
      </w:r>
    </w:p>
    <w:p w14:paraId="4DD6FD43"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Projektima se daju rješenja rudarsko-tehničke i biološke rekultivacije površina degradiranih izvođenjem rudarskih radova, uz uvažavanje uslova koji su utvrđeni Elaboratom o procjeni uticaja na životnu sredinu, vodnih uslova i sl.</w:t>
      </w:r>
    </w:p>
    <w:p w14:paraId="4BBEDB0A"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Projekat se mora realizovati u fazama, odnosno radovi na rekultivaciji izvoditi sukcesivno, paralelno sa razvojem kopa. To znači da je sa radovima na rekultivaciji potrebno početi odmah po završetku svake etaže.</w:t>
      </w:r>
    </w:p>
    <w:p w14:paraId="73E5F774" w14:textId="77777777" w:rsidR="00266CEB" w:rsidRPr="00082F7B" w:rsidRDefault="00266CEB" w:rsidP="00266CEB">
      <w:pPr>
        <w:pStyle w:val="Heading2"/>
        <w:rPr>
          <w:rFonts w:asciiTheme="majorHAnsi" w:hAnsiTheme="majorHAnsi"/>
          <w:szCs w:val="24"/>
        </w:rPr>
      </w:pPr>
      <w:bookmarkStart w:id="71" w:name="_Toc390549904"/>
      <w:bookmarkStart w:id="72" w:name="_Toc401959430"/>
      <w:bookmarkStart w:id="73" w:name="_Toc401959523"/>
      <w:bookmarkStart w:id="74" w:name="_Toc435529012"/>
      <w:bookmarkStart w:id="75" w:name="_Toc436124881"/>
      <w:bookmarkStart w:id="76" w:name="_Toc459633541"/>
      <w:r w:rsidRPr="00082F7B">
        <w:rPr>
          <w:rFonts w:asciiTheme="majorHAnsi" w:hAnsiTheme="majorHAnsi"/>
          <w:szCs w:val="24"/>
        </w:rPr>
        <w:t>Zaključak</w:t>
      </w:r>
      <w:bookmarkEnd w:id="71"/>
      <w:bookmarkEnd w:id="72"/>
      <w:bookmarkEnd w:id="73"/>
      <w:bookmarkEnd w:id="74"/>
      <w:bookmarkEnd w:id="75"/>
      <w:bookmarkEnd w:id="76"/>
      <w:r w:rsidRPr="00082F7B">
        <w:rPr>
          <w:rFonts w:asciiTheme="majorHAnsi" w:hAnsiTheme="majorHAnsi"/>
          <w:szCs w:val="24"/>
        </w:rPr>
        <w:t xml:space="preserve"> </w:t>
      </w:r>
    </w:p>
    <w:p w14:paraId="585321C3"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U skladu sa članom 71 Zakona o rudarstvu Koncesionar je dužan da u toku i po završetku radova na eksploataciji predmetne mineralne sirovine, a najkasnije u roku od jedne godine od dana završetka radova, privede zemljište na eksploatacionom polju namjeni prema Projektu rekultivacije zemljišta, odnosno, da preduzme mjere zaštite životne sredine </w:t>
      </w:r>
      <w:r w:rsidRPr="00082F7B">
        <w:rPr>
          <w:rFonts w:asciiTheme="majorHAnsi" w:hAnsiTheme="majorHAnsi" w:cstheme="minorHAnsi"/>
          <w:sz w:val="24"/>
          <w:szCs w:val="24"/>
          <w:lang w:val="sr-Latn-CS"/>
        </w:rPr>
        <w:lastRenderedPageBreak/>
        <w:t>sadržane u Elaboratu o procjeni uticaja na životnu sredinu na koji je od strane organa državne uprave nadležnog za poslove zaštite životne sredine data saglasnost i da preduzme mjere zaštite voda u skladu sa zakonom.</w:t>
      </w:r>
    </w:p>
    <w:p w14:paraId="0843232A"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O naprijed navedenim mjerama izvještavaju se Ministarstvo ekonomije i ministarstva nadležna za poslove poljoprivrede, vodoprivrede, zaštite životne sredine i nadležni organ lokalne uprave.</w:t>
      </w:r>
    </w:p>
    <w:p w14:paraId="12A8B643"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Ukoliko Koncesionar u skladu sa članom 71 Zakona o rudarstvu ne izvrši sanaciju i rekultivaciju prostora, istu će o njegovom trošku sprovesti Koncedent.</w:t>
      </w:r>
    </w:p>
    <w:p w14:paraId="6D64DE10"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Za sanaciju i rekultivaciju, saglasno odredbi člana 73 Zakona o rudarstvu, Koncesionar je dužan da od svake jedinice proizvoda mineralne sirovine mjesečno izdvaja sredstva za djelimičnu ili potpunu sanaciju zemljišta, a prema odobrenim projektima sanacije i rekultivacije.</w:t>
      </w:r>
    </w:p>
    <w:p w14:paraId="51A7EEB8"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Visina sredstava za sanaciju i rekultivaciju prostora na kojem se izvode rudarski radovi, način obračunavanja, plaćanja i korišćenja sredstava bliže je uređen Uredbom o visini sredstava za sanaciju i rekultivaciju prostora na kojem se izvodi rudarski radovi, načinu obračunavanja, plaćanja i korišćenja tih sredstava (“Sl. list CG”, br. 51/11).</w:t>
      </w:r>
    </w:p>
    <w:p w14:paraId="327DD9B1"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Koncesionar je dužan da u skladu sa navedenom Uredbom redovno dostavlja Ministarstvu obnovljivu bankarsku garacniju, naplativu na prvi poziv, bez prava prigovora, kao sredstvo obezbjeđenja izvršenja obaveza rekultivacije i sanacije. Visina novčanog iznosa bankarske garacnije određuje se rješenjem Ministarstva, u skladu sa Uredbom.</w:t>
      </w:r>
    </w:p>
    <w:p w14:paraId="211534C4" w14:textId="77777777" w:rsidR="00266CEB" w:rsidRPr="00082F7B" w:rsidRDefault="00266CEB" w:rsidP="00266CEB">
      <w:pPr>
        <w:pStyle w:val="Heading1"/>
        <w:rPr>
          <w:rFonts w:asciiTheme="majorHAnsi" w:hAnsiTheme="majorHAnsi"/>
          <w:szCs w:val="28"/>
          <w:lang w:val="sr-Latn-CS"/>
        </w:rPr>
      </w:pPr>
      <w:bookmarkStart w:id="77" w:name="_Toc390549905"/>
      <w:bookmarkStart w:id="78" w:name="_Toc401959431"/>
      <w:bookmarkStart w:id="79" w:name="_Toc401959524"/>
      <w:bookmarkStart w:id="80" w:name="_Toc435529013"/>
      <w:bookmarkStart w:id="81" w:name="_Toc436124882"/>
      <w:bookmarkStart w:id="82" w:name="_Toc459633542"/>
      <w:r w:rsidRPr="00082F7B">
        <w:rPr>
          <w:rFonts w:asciiTheme="majorHAnsi" w:hAnsiTheme="majorHAnsi"/>
          <w:szCs w:val="28"/>
          <w:lang w:val="sr-Latn-CS"/>
        </w:rPr>
        <w:t>Unaprjeđenje energetske efikasnosti</w:t>
      </w:r>
      <w:bookmarkEnd w:id="77"/>
      <w:bookmarkEnd w:id="78"/>
      <w:bookmarkEnd w:id="79"/>
      <w:bookmarkEnd w:id="80"/>
      <w:bookmarkEnd w:id="81"/>
      <w:bookmarkEnd w:id="82"/>
    </w:p>
    <w:p w14:paraId="45961866" w14:textId="77777777" w:rsidR="00266CEB" w:rsidRPr="00082F7B" w:rsidRDefault="00266CEB" w:rsidP="00266CEB">
      <w:pPr>
        <w:rPr>
          <w:rFonts w:asciiTheme="majorHAnsi" w:hAnsiTheme="majorHAnsi"/>
          <w:sz w:val="24"/>
          <w:szCs w:val="24"/>
        </w:rPr>
      </w:pPr>
    </w:p>
    <w:p w14:paraId="2A32C8B0"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Radi efikasnog korišćenja energije, u skladu sa odredbama </w:t>
      </w:r>
      <w:r w:rsidRPr="00082F7B">
        <w:rPr>
          <w:rFonts w:asciiTheme="majorHAnsi" w:hAnsiTheme="majorHAnsi" w:cstheme="minorHAnsi"/>
          <w:sz w:val="24"/>
          <w:szCs w:val="24"/>
        </w:rPr>
        <w:t>Zakona o efikasnom korišćenju energije (“Sl.list”. CG br 57/2014 i br. 3/2015</w:t>
      </w:r>
      <w:r w:rsidRPr="00082F7B">
        <w:rPr>
          <w:rFonts w:asciiTheme="majorHAnsi" w:hAnsiTheme="majorHAnsi" w:cstheme="minorHAnsi"/>
          <w:sz w:val="24"/>
          <w:szCs w:val="24"/>
          <w:lang w:val="sr-Latn-CS"/>
        </w:rPr>
        <w:t>) Koncesionar je dužan da preduzima mjere za poboljšanje energetske efikasnosti.</w:t>
      </w:r>
    </w:p>
    <w:p w14:paraId="7949D449"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Koncesionar je dužan da kroz izradu tehničke i projektne dokumentacije predvidi sprovođenje mjera za poboljšanje energetske efikasnosti, odnosno, ostvarivanje uštede energije i njeno racionalno korišćenje primjenom provjerenih savremenih tehnologija, čije je korišćenje ekonomski opravdano. </w:t>
      </w:r>
    </w:p>
    <w:p w14:paraId="2061F83F"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Sprovođenje mjera energetske efikasnosti utiče na kvalitet radne i životne sredine.</w:t>
      </w:r>
    </w:p>
    <w:p w14:paraId="697D48F3" w14:textId="77777777" w:rsidR="00266CEB" w:rsidRPr="00082F7B" w:rsidRDefault="00266CEB" w:rsidP="00266CEB">
      <w:pPr>
        <w:pStyle w:val="Heading1"/>
        <w:rPr>
          <w:rFonts w:asciiTheme="majorHAnsi" w:hAnsiTheme="majorHAnsi"/>
          <w:szCs w:val="28"/>
          <w:lang w:val="sr-Latn-CS"/>
        </w:rPr>
      </w:pPr>
      <w:bookmarkStart w:id="83" w:name="_Toc390549906"/>
      <w:bookmarkStart w:id="84" w:name="_Toc401959432"/>
      <w:bookmarkStart w:id="85" w:name="_Toc401959525"/>
      <w:bookmarkStart w:id="86" w:name="_Toc435529014"/>
      <w:bookmarkStart w:id="87" w:name="_Toc436124883"/>
      <w:bookmarkStart w:id="88" w:name="_Toc459633543"/>
      <w:r w:rsidRPr="00082F7B">
        <w:rPr>
          <w:rFonts w:asciiTheme="majorHAnsi" w:hAnsiTheme="majorHAnsi"/>
          <w:szCs w:val="28"/>
          <w:lang w:val="sr-Latn-CS"/>
        </w:rPr>
        <w:lastRenderedPageBreak/>
        <w:t>Uslovi koje je dužan da ispunjava koncesionar u pogledu tehničke opremljenosti, finansijske sposobnosti i ostale reference i dokaze o ispunjavanju tih uslova</w:t>
      </w:r>
      <w:bookmarkEnd w:id="83"/>
      <w:bookmarkEnd w:id="84"/>
      <w:bookmarkEnd w:id="85"/>
      <w:bookmarkEnd w:id="86"/>
      <w:bookmarkEnd w:id="87"/>
      <w:bookmarkEnd w:id="88"/>
    </w:p>
    <w:p w14:paraId="066477BC" w14:textId="77777777" w:rsidR="00266CEB" w:rsidRPr="00082F7B" w:rsidRDefault="00266CEB" w:rsidP="00266CEB">
      <w:pPr>
        <w:jc w:val="both"/>
        <w:rPr>
          <w:rFonts w:asciiTheme="majorHAnsi" w:hAnsiTheme="majorHAnsi" w:cstheme="minorHAnsi"/>
          <w:color w:val="000000"/>
          <w:sz w:val="24"/>
          <w:szCs w:val="24"/>
          <w:lang w:val="sr-Latn-CS"/>
        </w:rPr>
      </w:pPr>
      <w:r w:rsidRPr="00082F7B">
        <w:rPr>
          <w:rFonts w:asciiTheme="majorHAnsi" w:hAnsiTheme="majorHAnsi" w:cstheme="minorHAnsi"/>
          <w:color w:val="000000"/>
          <w:sz w:val="24"/>
          <w:szCs w:val="24"/>
          <w:lang w:val="sr-Latn-CS"/>
        </w:rPr>
        <w:t>Obaveze Koncesionara u pogledu ispunjavanja uslova definisanih u ovom poglavlju su sljedeće:</w:t>
      </w:r>
    </w:p>
    <w:p w14:paraId="57521886" w14:textId="77777777" w:rsidR="00266CEB" w:rsidRPr="00082F7B" w:rsidRDefault="00266CEB" w:rsidP="00266CEB">
      <w:pPr>
        <w:pStyle w:val="ListParagraph"/>
        <w:numPr>
          <w:ilvl w:val="0"/>
          <w:numId w:val="23"/>
        </w:numPr>
        <w:suppressAutoHyphens w:val="0"/>
        <w:contextualSpacing w:val="0"/>
        <w:jc w:val="both"/>
        <w:rPr>
          <w:rFonts w:asciiTheme="majorHAnsi" w:hAnsiTheme="majorHAnsi" w:cstheme="minorHAnsi"/>
          <w:color w:val="000000"/>
          <w:sz w:val="24"/>
          <w:szCs w:val="24"/>
          <w:lang w:val="sr-Latn-CS"/>
        </w:rPr>
      </w:pPr>
      <w:r w:rsidRPr="00082F7B">
        <w:rPr>
          <w:rFonts w:asciiTheme="majorHAnsi" w:hAnsiTheme="majorHAnsi" w:cstheme="minorHAnsi"/>
          <w:color w:val="000000"/>
          <w:sz w:val="24"/>
          <w:szCs w:val="24"/>
          <w:lang w:val="sr-Latn-CS"/>
        </w:rPr>
        <w:t>Da, u skladu sa članom 51 stav 2 Zakona o koncesijama, u roku od 60 dana od dana zaključenja Ugovora o koncesiji, osnuje i registruje privredno društvo ili drugo pravno lice sa sjedištem u Crnoj Gori, koje će obavljati koncesionu djelatnost ili da proširi registraciju za vršenje koncesione djelatnosti.</w:t>
      </w:r>
    </w:p>
    <w:p w14:paraId="0383B37C" w14:textId="77777777" w:rsidR="00266CEB" w:rsidRPr="00082F7B" w:rsidRDefault="00266CEB" w:rsidP="00266CEB">
      <w:pPr>
        <w:pStyle w:val="ListParagraph"/>
        <w:numPr>
          <w:ilvl w:val="0"/>
          <w:numId w:val="23"/>
        </w:numPr>
        <w:suppressAutoHyphens w:val="0"/>
        <w:contextualSpacing w:val="0"/>
        <w:jc w:val="both"/>
        <w:rPr>
          <w:rFonts w:asciiTheme="majorHAnsi" w:hAnsiTheme="majorHAnsi" w:cstheme="minorHAnsi"/>
          <w:color w:val="000000"/>
          <w:sz w:val="24"/>
          <w:szCs w:val="24"/>
          <w:lang w:val="sr-Latn-CS"/>
        </w:rPr>
      </w:pPr>
      <w:r w:rsidRPr="00082F7B">
        <w:rPr>
          <w:rFonts w:asciiTheme="majorHAnsi" w:hAnsiTheme="majorHAnsi" w:cstheme="minorHAnsi"/>
          <w:b/>
          <w:color w:val="000000"/>
          <w:sz w:val="24"/>
          <w:szCs w:val="24"/>
          <w:lang w:val="sr-Latn-CS"/>
        </w:rPr>
        <w:t xml:space="preserve"> </w:t>
      </w:r>
      <w:r w:rsidRPr="00082F7B">
        <w:rPr>
          <w:rFonts w:asciiTheme="majorHAnsi" w:hAnsiTheme="majorHAnsi" w:cstheme="minorHAnsi"/>
          <w:color w:val="000000"/>
          <w:sz w:val="24"/>
          <w:szCs w:val="24"/>
          <w:lang w:val="sr-Latn-CS"/>
        </w:rPr>
        <w:t>Da obezbijedi svu potrebnu geološku i rudarsku dokumentaciju, odobrenja i saglasnosti potrebnih za zakonito izvođenje radova (obrađeno u poglavlju 11).</w:t>
      </w:r>
    </w:p>
    <w:p w14:paraId="6E89579D" w14:textId="77777777" w:rsidR="00266CEB" w:rsidRPr="00082F7B" w:rsidRDefault="00266CEB" w:rsidP="00266CEB">
      <w:pPr>
        <w:pStyle w:val="ListParagraph"/>
        <w:numPr>
          <w:ilvl w:val="0"/>
          <w:numId w:val="23"/>
        </w:numPr>
        <w:suppressAutoHyphens w:val="0"/>
        <w:contextualSpacing w:val="0"/>
        <w:jc w:val="both"/>
        <w:rPr>
          <w:rFonts w:asciiTheme="majorHAnsi" w:hAnsiTheme="majorHAnsi" w:cstheme="minorHAnsi"/>
          <w:color w:val="000000"/>
          <w:sz w:val="24"/>
          <w:szCs w:val="24"/>
          <w:lang w:val="sr-Latn-CS"/>
        </w:rPr>
      </w:pPr>
      <w:r w:rsidRPr="00082F7B">
        <w:rPr>
          <w:rFonts w:asciiTheme="majorHAnsi" w:hAnsiTheme="majorHAnsi" w:cstheme="minorHAnsi"/>
          <w:b/>
          <w:color w:val="000000"/>
          <w:sz w:val="24"/>
          <w:szCs w:val="24"/>
          <w:lang w:val="sr-Latn-CS"/>
        </w:rPr>
        <w:t xml:space="preserve"> </w:t>
      </w:r>
      <w:r w:rsidRPr="00082F7B">
        <w:rPr>
          <w:rFonts w:asciiTheme="majorHAnsi" w:hAnsiTheme="majorHAnsi" w:cstheme="minorHAnsi"/>
          <w:color w:val="000000"/>
          <w:sz w:val="24"/>
          <w:szCs w:val="24"/>
          <w:lang w:val="sr-Latn-CS"/>
        </w:rPr>
        <w:t>Da obezbijedi opremu i mehanizaciju saglasno verifikovanoj rudarskoj i tehničkoj dokumentaciji. Oprema i mehanizacija treba da ispunjava uslove propisane pravilnicima o tehičkim normativima za izvođenje planirane vrste radova na predmetnom lokalitetu.</w:t>
      </w:r>
    </w:p>
    <w:p w14:paraId="25F30B63" w14:textId="77777777" w:rsidR="00266CEB" w:rsidRPr="00082F7B" w:rsidRDefault="00266CEB" w:rsidP="00266CEB">
      <w:pPr>
        <w:pStyle w:val="ListParagraph"/>
        <w:numPr>
          <w:ilvl w:val="0"/>
          <w:numId w:val="23"/>
        </w:numPr>
        <w:suppressAutoHyphens w:val="0"/>
        <w:contextualSpacing w:val="0"/>
        <w:jc w:val="both"/>
        <w:rPr>
          <w:rFonts w:asciiTheme="majorHAnsi" w:hAnsiTheme="majorHAnsi" w:cstheme="minorHAnsi"/>
          <w:color w:val="000000"/>
          <w:sz w:val="24"/>
          <w:szCs w:val="24"/>
          <w:lang w:val="sr-Latn-CS"/>
        </w:rPr>
      </w:pPr>
      <w:r w:rsidRPr="00082F7B">
        <w:rPr>
          <w:rFonts w:asciiTheme="majorHAnsi" w:hAnsiTheme="majorHAnsi" w:cstheme="minorHAnsi"/>
          <w:color w:val="000000"/>
          <w:sz w:val="24"/>
          <w:szCs w:val="24"/>
          <w:lang w:val="sr-Latn-CS"/>
        </w:rPr>
        <w:t xml:space="preserve">Da obezbijedi radnu snagu saglasno ovom Koncesionom aktu i rudarskoj i tehničkoj dokumentaciji. Zaposleni moraju da ispunjavaju uslove (u pogledu stepena stručne spreme, radnog iskustva, obučenosti i ovlašćenja za vršenje tih poslova) u skladu sa Zakonom o rudarstvu („Sl.list CG“, br. 65/08, 74/10 </w:t>
      </w:r>
      <w:r w:rsidRPr="00082F7B">
        <w:rPr>
          <w:rFonts w:asciiTheme="majorHAnsi" w:hAnsiTheme="majorHAnsi" w:cstheme="minorHAnsi"/>
          <w:sz w:val="24"/>
          <w:szCs w:val="24"/>
          <w:lang w:val="sr-Latn-CS"/>
        </w:rPr>
        <w:t>i 40/11</w:t>
      </w:r>
      <w:r w:rsidRPr="00082F7B">
        <w:rPr>
          <w:rFonts w:asciiTheme="majorHAnsi" w:hAnsiTheme="majorHAnsi" w:cstheme="minorHAnsi"/>
          <w:color w:val="000000"/>
          <w:sz w:val="24"/>
          <w:szCs w:val="24"/>
          <w:lang w:val="sr-Latn-CS"/>
        </w:rPr>
        <w:t>).</w:t>
      </w:r>
    </w:p>
    <w:p w14:paraId="7808976C" w14:textId="77777777" w:rsidR="00266CEB" w:rsidRPr="00082F7B" w:rsidRDefault="00266CEB" w:rsidP="00266CEB">
      <w:pPr>
        <w:pStyle w:val="ListParagraph"/>
        <w:numPr>
          <w:ilvl w:val="0"/>
          <w:numId w:val="23"/>
        </w:numPr>
        <w:suppressAutoHyphens w:val="0"/>
        <w:contextualSpacing w:val="0"/>
        <w:jc w:val="both"/>
        <w:rPr>
          <w:rFonts w:asciiTheme="majorHAnsi" w:hAnsiTheme="majorHAnsi" w:cstheme="minorHAnsi"/>
          <w:color w:val="000000"/>
          <w:sz w:val="24"/>
          <w:szCs w:val="24"/>
          <w:lang w:val="sr-Latn-CS"/>
        </w:rPr>
      </w:pPr>
      <w:r w:rsidRPr="00082F7B">
        <w:rPr>
          <w:rFonts w:asciiTheme="majorHAnsi" w:hAnsiTheme="majorHAnsi" w:cstheme="minorHAnsi"/>
          <w:color w:val="000000"/>
          <w:sz w:val="24"/>
          <w:szCs w:val="24"/>
          <w:lang w:val="sr-Latn-CS"/>
        </w:rPr>
        <w:t>Da izvršava finansijski dio u pogledu obaveza utvrđenih Ugovorom o koncesiji, u smislu plaćanja koncesione naknade, dostavljanja obnovljive godišnje bankarske garancije, izdvajanja sredstava za rekultivaciju. Koncesionar mora da ostvaruje takve poslovne rezultate koji će mu omogućiti redovno poslovanje (redovno izmirivanje poreskih i drugih obaveza), a time i ispunjavanje ugovornih obaveza.</w:t>
      </w:r>
    </w:p>
    <w:p w14:paraId="7CA60EDB" w14:textId="77777777" w:rsidR="00266CEB" w:rsidRPr="00082F7B" w:rsidRDefault="00266CEB" w:rsidP="00266CEB">
      <w:pPr>
        <w:pStyle w:val="Heading1"/>
        <w:rPr>
          <w:rFonts w:asciiTheme="majorHAnsi" w:hAnsiTheme="majorHAnsi"/>
          <w:szCs w:val="28"/>
        </w:rPr>
      </w:pPr>
      <w:bookmarkStart w:id="89" w:name="_Toc390549907"/>
      <w:bookmarkStart w:id="90" w:name="_Toc401959433"/>
      <w:bookmarkStart w:id="91" w:name="_Toc401959526"/>
      <w:bookmarkStart w:id="92" w:name="_Toc435529015"/>
      <w:bookmarkStart w:id="93" w:name="_Toc436124884"/>
      <w:bookmarkStart w:id="94" w:name="_Toc459633544"/>
      <w:r w:rsidRPr="00082F7B">
        <w:rPr>
          <w:rFonts w:asciiTheme="majorHAnsi" w:hAnsiTheme="majorHAnsi"/>
          <w:szCs w:val="28"/>
          <w:lang w:val="sr-Latn-CS"/>
        </w:rPr>
        <w:t>Minimalni početni iznos koncesione naknade</w:t>
      </w:r>
      <w:bookmarkEnd w:id="89"/>
      <w:bookmarkEnd w:id="90"/>
      <w:bookmarkEnd w:id="91"/>
      <w:bookmarkEnd w:id="92"/>
      <w:bookmarkEnd w:id="93"/>
      <w:bookmarkEnd w:id="94"/>
    </w:p>
    <w:p w14:paraId="0994D4E2"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Koncesionim aktom se utvrđuje minimalni - početni iznos koncesione naknade.</w:t>
      </w:r>
    </w:p>
    <w:p w14:paraId="2DB7962E"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Minimalna koncesiona naknada se utvrđuje na osnovu Uredbe o kriterijumima i načinu obračuna iznosa minimalne koncesione naknade za ustupanje prava na istraživanje i eksploataciju mineralnih sirovina („Sl. list CG“, br. 37/11).</w:t>
      </w:r>
    </w:p>
    <w:p w14:paraId="77091F66"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Navedenom Uredbom je utvrđeno da se minimalna koncesiona naknada određuje za eksploataciju mineralnih sirovina, tj. za period eksploatacije, a ne i za period koji je predviđen za detaljna geološka istraživanja.</w:t>
      </w:r>
    </w:p>
    <w:p w14:paraId="34069134" w14:textId="77777777" w:rsidR="00266CEB" w:rsidRPr="00082F7B" w:rsidRDefault="00266CEB" w:rsidP="00266CEB">
      <w:pPr>
        <w:pStyle w:val="Heading2"/>
        <w:keepLines/>
        <w:tabs>
          <w:tab w:val="left" w:pos="1080"/>
        </w:tabs>
        <w:suppressAutoHyphens w:val="0"/>
        <w:spacing w:before="0" w:after="200"/>
        <w:rPr>
          <w:rFonts w:asciiTheme="majorHAnsi" w:hAnsiTheme="majorHAnsi"/>
          <w:szCs w:val="24"/>
        </w:rPr>
      </w:pPr>
      <w:bookmarkStart w:id="95" w:name="_Toc390549908"/>
      <w:bookmarkStart w:id="96" w:name="_Toc401959434"/>
      <w:bookmarkStart w:id="97" w:name="_Toc401959527"/>
      <w:bookmarkStart w:id="98" w:name="_Toc435529016"/>
      <w:bookmarkStart w:id="99" w:name="_Toc436124885"/>
      <w:bookmarkStart w:id="100" w:name="_Toc459633545"/>
      <w:r w:rsidRPr="00082F7B">
        <w:rPr>
          <w:rFonts w:asciiTheme="majorHAnsi" w:hAnsiTheme="majorHAnsi"/>
          <w:szCs w:val="24"/>
        </w:rPr>
        <w:lastRenderedPageBreak/>
        <w:t>Minimalni početni iznos koncesione naknade za eksploataciju</w:t>
      </w:r>
      <w:bookmarkEnd w:id="95"/>
      <w:bookmarkEnd w:id="96"/>
      <w:bookmarkEnd w:id="97"/>
      <w:bookmarkEnd w:id="98"/>
      <w:bookmarkEnd w:id="99"/>
      <w:bookmarkEnd w:id="100"/>
    </w:p>
    <w:p w14:paraId="7AFD492F" w14:textId="77777777" w:rsidR="00266CEB" w:rsidRPr="00082F7B" w:rsidRDefault="00266CEB" w:rsidP="00266CEB">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Minimalna koncesiona naknada za eksploataciju (čl. 3 Uredbe) određuje se na osnovu sljedećih kriterijuma:</w:t>
      </w:r>
    </w:p>
    <w:p w14:paraId="61ED9359" w14:textId="77777777" w:rsidR="00266CEB" w:rsidRPr="00082F7B" w:rsidRDefault="00266CEB" w:rsidP="00266CEB">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rezervi mineralne sirovine koja je predmet koncesije;</w:t>
      </w:r>
    </w:p>
    <w:p w14:paraId="723AA029" w14:textId="77777777" w:rsidR="00266CEB" w:rsidRPr="00082F7B" w:rsidRDefault="00266CEB" w:rsidP="00266CEB">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pripadnosti grupi ležišta;</w:t>
      </w:r>
    </w:p>
    <w:p w14:paraId="4E1F3523" w14:textId="77777777" w:rsidR="00266CEB" w:rsidRPr="00082F7B" w:rsidRDefault="00266CEB" w:rsidP="00266CEB">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kvaliteta mineralne sirovine; i</w:t>
      </w:r>
    </w:p>
    <w:p w14:paraId="1E465D74" w14:textId="77777777" w:rsidR="00266CEB" w:rsidRPr="00082F7B" w:rsidRDefault="00266CEB" w:rsidP="00266CEB">
      <w:pPr>
        <w:numPr>
          <w:ilvl w:val="0"/>
          <w:numId w:val="21"/>
        </w:numPr>
        <w:suppressAutoHyphens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tržišne cijene mineralne sirovine.</w:t>
      </w:r>
    </w:p>
    <w:p w14:paraId="715F2158" w14:textId="5886EBFB" w:rsidR="00F653C8" w:rsidRPr="00082F7B" w:rsidRDefault="00F653C8" w:rsidP="008516B5">
      <w:pPr>
        <w:pStyle w:val="Heading3"/>
        <w:rPr>
          <w:rFonts w:asciiTheme="majorHAnsi" w:hAnsiTheme="majorHAnsi"/>
          <w:szCs w:val="24"/>
        </w:rPr>
      </w:pPr>
      <w:bookmarkStart w:id="101" w:name="_Toc459633546"/>
      <w:r w:rsidRPr="00082F7B">
        <w:rPr>
          <w:rFonts w:asciiTheme="majorHAnsi" w:hAnsiTheme="majorHAnsi"/>
          <w:szCs w:val="24"/>
        </w:rPr>
        <w:t>Rezerve mineralne sirovine</w:t>
      </w:r>
      <w:bookmarkEnd w:id="69"/>
      <w:bookmarkEnd w:id="101"/>
    </w:p>
    <w:p w14:paraId="698F2706" w14:textId="77777777" w:rsidR="00F653C8" w:rsidRPr="00082F7B" w:rsidRDefault="00F653C8" w:rsidP="00E8576A">
      <w:pPr>
        <w:spacing w:after="0" w:line="240" w:lineRule="auto"/>
        <w:rPr>
          <w:rFonts w:asciiTheme="majorHAnsi" w:hAnsiTheme="majorHAnsi"/>
          <w:sz w:val="24"/>
          <w:szCs w:val="24"/>
        </w:rPr>
      </w:pPr>
    </w:p>
    <w:p w14:paraId="33D90D56" w14:textId="77777777" w:rsidR="00F653C8" w:rsidRPr="00082F7B" w:rsidRDefault="00F653C8" w:rsidP="00E8576A">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Utvrđene eksploatacione rezerve tehničko-građevins</w:t>
      </w:r>
      <w:r w:rsidR="00E8576A" w:rsidRPr="00082F7B">
        <w:rPr>
          <w:rFonts w:asciiTheme="majorHAnsi" w:hAnsiTheme="majorHAnsi" w:cstheme="minorHAnsi"/>
          <w:sz w:val="24"/>
          <w:szCs w:val="24"/>
        </w:rPr>
        <w:t>kog kamena na ležištu „Štitarica-Taskavac“, stanje 31.12.2012</w:t>
      </w:r>
      <w:r w:rsidRPr="00082F7B">
        <w:rPr>
          <w:rFonts w:asciiTheme="majorHAnsi" w:hAnsiTheme="majorHAnsi" w:cstheme="minorHAnsi"/>
          <w:sz w:val="24"/>
          <w:szCs w:val="24"/>
        </w:rPr>
        <w:t xml:space="preserve">. godine,  iznose </w:t>
      </w:r>
      <w:r w:rsidR="00E8576A" w:rsidRPr="00082F7B">
        <w:rPr>
          <w:rFonts w:asciiTheme="majorHAnsi" w:hAnsiTheme="majorHAnsi"/>
          <w:sz w:val="24"/>
          <w:szCs w:val="24"/>
        </w:rPr>
        <w:t>1.075.110</w:t>
      </w:r>
      <w:r w:rsidRPr="00082F7B">
        <w:rPr>
          <w:rFonts w:asciiTheme="majorHAnsi" w:hAnsiTheme="majorHAnsi" w:cstheme="minorHAnsi"/>
          <w:sz w:val="24"/>
          <w:szCs w:val="24"/>
        </w:rPr>
        <w:t xml:space="preserve"> m</w:t>
      </w:r>
      <w:r w:rsidRPr="00082F7B">
        <w:rPr>
          <w:rFonts w:asciiTheme="majorHAnsi" w:hAnsiTheme="majorHAnsi" w:cstheme="minorHAnsi"/>
          <w:sz w:val="24"/>
          <w:szCs w:val="24"/>
          <w:vertAlign w:val="superscript"/>
        </w:rPr>
        <w:t xml:space="preserve">3 </w:t>
      </w:r>
      <w:r w:rsidRPr="00082F7B">
        <w:rPr>
          <w:rFonts w:asciiTheme="majorHAnsi" w:hAnsiTheme="majorHAnsi" w:cstheme="minorHAnsi"/>
          <w:sz w:val="24"/>
          <w:szCs w:val="24"/>
        </w:rPr>
        <w:t>č.s.m.</w:t>
      </w:r>
    </w:p>
    <w:p w14:paraId="28E17542" w14:textId="77777777" w:rsidR="00F653C8" w:rsidRPr="00082F7B" w:rsidRDefault="00F653C8" w:rsidP="00E8576A">
      <w:pPr>
        <w:spacing w:after="0" w:line="240" w:lineRule="auto"/>
        <w:jc w:val="both"/>
        <w:rPr>
          <w:rFonts w:asciiTheme="majorHAnsi" w:hAnsiTheme="majorHAnsi" w:cstheme="minorHAnsi"/>
          <w:b/>
          <w:sz w:val="24"/>
          <w:szCs w:val="24"/>
        </w:rPr>
      </w:pPr>
    </w:p>
    <w:p w14:paraId="6C5C36B9" w14:textId="5352E857" w:rsidR="00F653C8" w:rsidRPr="00082F7B" w:rsidRDefault="00F653C8" w:rsidP="00E8576A">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xml:space="preserve">Prema minimalnom godišnjem kapacitetu od </w:t>
      </w:r>
      <w:r w:rsidR="008516B5" w:rsidRPr="00082F7B">
        <w:rPr>
          <w:rFonts w:asciiTheme="majorHAnsi" w:hAnsiTheme="majorHAnsi" w:cstheme="minorHAnsi"/>
          <w:b/>
          <w:sz w:val="24"/>
          <w:szCs w:val="24"/>
        </w:rPr>
        <w:t>1</w:t>
      </w:r>
      <w:r w:rsidR="00F10732" w:rsidRPr="00082F7B">
        <w:rPr>
          <w:rFonts w:asciiTheme="majorHAnsi" w:hAnsiTheme="majorHAnsi" w:cstheme="minorHAnsi"/>
          <w:b/>
          <w:sz w:val="24"/>
          <w:szCs w:val="24"/>
        </w:rPr>
        <w:t>4</w:t>
      </w:r>
      <w:r w:rsidRPr="00082F7B">
        <w:rPr>
          <w:rFonts w:asciiTheme="majorHAnsi" w:hAnsiTheme="majorHAnsi" w:cstheme="minorHAnsi"/>
          <w:b/>
          <w:sz w:val="24"/>
          <w:szCs w:val="24"/>
        </w:rPr>
        <w:t>.000 m</w:t>
      </w:r>
      <w:r w:rsidRPr="00082F7B">
        <w:rPr>
          <w:rFonts w:asciiTheme="majorHAnsi" w:hAnsiTheme="majorHAnsi" w:cstheme="minorHAnsi"/>
          <w:b/>
          <w:sz w:val="24"/>
          <w:szCs w:val="24"/>
          <w:vertAlign w:val="superscript"/>
        </w:rPr>
        <w:t xml:space="preserve">3 </w:t>
      </w:r>
      <w:r w:rsidRPr="00082F7B">
        <w:rPr>
          <w:rFonts w:asciiTheme="majorHAnsi" w:hAnsiTheme="majorHAnsi" w:cstheme="minorHAnsi"/>
          <w:b/>
          <w:sz w:val="24"/>
          <w:szCs w:val="24"/>
        </w:rPr>
        <w:t xml:space="preserve">č.s.m. tehničko-građevinskog kamena, za period od 20 godina (period koncesije za eksploataciju) otkopalo bi se </w:t>
      </w:r>
      <w:r w:rsidR="00F10732" w:rsidRPr="00082F7B">
        <w:rPr>
          <w:rFonts w:asciiTheme="majorHAnsi" w:hAnsiTheme="majorHAnsi" w:cstheme="minorHAnsi"/>
          <w:b/>
          <w:sz w:val="24"/>
          <w:szCs w:val="24"/>
        </w:rPr>
        <w:t>28</w:t>
      </w:r>
      <w:r w:rsidRPr="00082F7B">
        <w:rPr>
          <w:rFonts w:asciiTheme="majorHAnsi" w:hAnsiTheme="majorHAnsi" w:cstheme="minorHAnsi"/>
          <w:b/>
          <w:sz w:val="24"/>
          <w:szCs w:val="24"/>
        </w:rPr>
        <w:t>0.000 m</w:t>
      </w:r>
      <w:r w:rsidRPr="00082F7B">
        <w:rPr>
          <w:rFonts w:asciiTheme="majorHAnsi" w:hAnsiTheme="majorHAnsi" w:cstheme="minorHAnsi"/>
          <w:b/>
          <w:sz w:val="24"/>
          <w:szCs w:val="24"/>
          <w:vertAlign w:val="superscript"/>
        </w:rPr>
        <w:t>3</w:t>
      </w:r>
      <w:r w:rsidRPr="00082F7B">
        <w:rPr>
          <w:rFonts w:asciiTheme="majorHAnsi" w:hAnsiTheme="majorHAnsi" w:cstheme="minorHAnsi"/>
          <w:b/>
          <w:sz w:val="24"/>
          <w:szCs w:val="24"/>
        </w:rPr>
        <w:t xml:space="preserve"> č.s.m tehničko-građevinskog kamena. Od </w:t>
      </w:r>
      <w:r w:rsidR="00F10732" w:rsidRPr="00082F7B">
        <w:rPr>
          <w:rFonts w:asciiTheme="majorHAnsi" w:hAnsiTheme="majorHAnsi" w:cstheme="minorHAnsi"/>
          <w:b/>
          <w:sz w:val="24"/>
          <w:szCs w:val="24"/>
        </w:rPr>
        <w:t>28</w:t>
      </w:r>
      <w:r w:rsidRPr="00082F7B">
        <w:rPr>
          <w:rFonts w:asciiTheme="majorHAnsi" w:hAnsiTheme="majorHAnsi" w:cstheme="minorHAnsi"/>
          <w:b/>
          <w:sz w:val="24"/>
          <w:szCs w:val="24"/>
        </w:rPr>
        <w:t>0.000 m</w:t>
      </w:r>
      <w:r w:rsidRPr="00082F7B">
        <w:rPr>
          <w:rFonts w:asciiTheme="majorHAnsi" w:hAnsiTheme="majorHAnsi" w:cstheme="minorHAnsi"/>
          <w:b/>
          <w:sz w:val="24"/>
          <w:szCs w:val="24"/>
          <w:vertAlign w:val="superscript"/>
        </w:rPr>
        <w:t xml:space="preserve">3 </w:t>
      </w:r>
      <w:r w:rsidR="00F10732" w:rsidRPr="00082F7B">
        <w:rPr>
          <w:rFonts w:asciiTheme="majorHAnsi" w:hAnsiTheme="majorHAnsi" w:cstheme="minorHAnsi"/>
          <w:b/>
          <w:sz w:val="24"/>
          <w:szCs w:val="24"/>
        </w:rPr>
        <w:t>č.s.m.,</w:t>
      </w:r>
      <w:r w:rsidRPr="00082F7B">
        <w:rPr>
          <w:rFonts w:asciiTheme="majorHAnsi" w:hAnsiTheme="majorHAnsi" w:cstheme="minorHAnsi"/>
          <w:b/>
          <w:sz w:val="24"/>
          <w:szCs w:val="24"/>
        </w:rPr>
        <w:t xml:space="preserve"> na godišnjem nivou, u procesu dalje obrade sirovine, dobilo bi se </w:t>
      </w:r>
      <w:r w:rsidR="00F10732" w:rsidRPr="00082F7B">
        <w:rPr>
          <w:rFonts w:asciiTheme="majorHAnsi" w:hAnsiTheme="majorHAnsi" w:cstheme="minorHAnsi"/>
          <w:b/>
          <w:sz w:val="24"/>
          <w:szCs w:val="24"/>
        </w:rPr>
        <w:t>21</w:t>
      </w:r>
      <w:r w:rsidRPr="00082F7B">
        <w:rPr>
          <w:rFonts w:asciiTheme="majorHAnsi" w:hAnsiTheme="majorHAnsi" w:cstheme="minorHAnsi"/>
          <w:b/>
          <w:sz w:val="24"/>
          <w:szCs w:val="24"/>
        </w:rPr>
        <w:t>.000 m</w:t>
      </w:r>
      <w:r w:rsidRPr="00082F7B">
        <w:rPr>
          <w:rFonts w:asciiTheme="majorHAnsi" w:hAnsiTheme="majorHAnsi" w:cstheme="minorHAnsi"/>
          <w:b/>
          <w:sz w:val="24"/>
          <w:szCs w:val="24"/>
          <w:vertAlign w:val="superscript"/>
        </w:rPr>
        <w:t>3</w:t>
      </w:r>
      <w:r w:rsidRPr="00082F7B">
        <w:rPr>
          <w:rFonts w:asciiTheme="majorHAnsi" w:hAnsiTheme="majorHAnsi" w:cstheme="minorHAnsi"/>
          <w:b/>
          <w:sz w:val="24"/>
          <w:szCs w:val="24"/>
        </w:rPr>
        <w:t xml:space="preserve"> agregata različitih frakcija, što bi za period od 20 godina iznosilo </w:t>
      </w:r>
      <w:r w:rsidR="00F10732" w:rsidRPr="00082F7B">
        <w:rPr>
          <w:rFonts w:asciiTheme="majorHAnsi" w:hAnsiTheme="majorHAnsi" w:cstheme="minorHAnsi"/>
          <w:b/>
          <w:sz w:val="24"/>
          <w:szCs w:val="24"/>
        </w:rPr>
        <w:t>420.000</w:t>
      </w:r>
      <w:r w:rsidRPr="00082F7B">
        <w:rPr>
          <w:rFonts w:asciiTheme="majorHAnsi" w:hAnsiTheme="majorHAnsi" w:cstheme="minorHAnsi"/>
          <w:b/>
          <w:sz w:val="24"/>
          <w:szCs w:val="24"/>
        </w:rPr>
        <w:t>.000 m</w:t>
      </w:r>
      <w:r w:rsidRPr="00082F7B">
        <w:rPr>
          <w:rFonts w:asciiTheme="majorHAnsi" w:hAnsiTheme="majorHAnsi" w:cstheme="minorHAnsi"/>
          <w:b/>
          <w:sz w:val="24"/>
          <w:szCs w:val="24"/>
          <w:vertAlign w:val="superscript"/>
        </w:rPr>
        <w:t>3</w:t>
      </w:r>
      <w:r w:rsidRPr="00082F7B">
        <w:rPr>
          <w:rFonts w:asciiTheme="majorHAnsi" w:hAnsiTheme="majorHAnsi" w:cstheme="minorHAnsi"/>
          <w:sz w:val="24"/>
          <w:szCs w:val="24"/>
        </w:rPr>
        <w:t xml:space="preserve"> </w:t>
      </w:r>
      <w:r w:rsidRPr="00082F7B">
        <w:rPr>
          <w:rFonts w:asciiTheme="majorHAnsi" w:hAnsiTheme="majorHAnsi" w:cstheme="minorHAnsi"/>
          <w:b/>
          <w:sz w:val="24"/>
          <w:szCs w:val="24"/>
        </w:rPr>
        <w:t>tržišnog proizvoda.</w:t>
      </w:r>
    </w:p>
    <w:p w14:paraId="28AC3791" w14:textId="77777777" w:rsidR="00F653C8" w:rsidRPr="00082F7B" w:rsidRDefault="00F653C8" w:rsidP="00E8576A">
      <w:pPr>
        <w:spacing w:after="0" w:line="240" w:lineRule="auto"/>
        <w:jc w:val="both"/>
        <w:rPr>
          <w:rFonts w:asciiTheme="majorHAnsi" w:hAnsiTheme="majorHAnsi" w:cstheme="minorHAnsi"/>
          <w:b/>
          <w:sz w:val="24"/>
          <w:szCs w:val="24"/>
        </w:rPr>
      </w:pPr>
    </w:p>
    <w:p w14:paraId="6FC2854F" w14:textId="77777777" w:rsidR="00704AC3" w:rsidRPr="00082F7B" w:rsidRDefault="00704AC3" w:rsidP="00E8576A">
      <w:pPr>
        <w:spacing w:after="0" w:line="240" w:lineRule="auto"/>
        <w:jc w:val="both"/>
        <w:rPr>
          <w:rFonts w:asciiTheme="majorHAnsi" w:hAnsiTheme="majorHAnsi" w:cstheme="minorHAnsi"/>
          <w:b/>
          <w:sz w:val="24"/>
          <w:szCs w:val="24"/>
        </w:rPr>
      </w:pPr>
    </w:p>
    <w:p w14:paraId="71DC7FED" w14:textId="275645A4" w:rsidR="00F653C8" w:rsidRPr="00082F7B" w:rsidRDefault="00F653C8" w:rsidP="008516B5">
      <w:pPr>
        <w:pStyle w:val="Heading3"/>
        <w:rPr>
          <w:rFonts w:asciiTheme="majorHAnsi" w:hAnsiTheme="majorHAnsi"/>
          <w:szCs w:val="24"/>
        </w:rPr>
      </w:pPr>
      <w:bookmarkStart w:id="102" w:name="_Toc402262956"/>
      <w:bookmarkStart w:id="103" w:name="_Toc459633547"/>
      <w:r w:rsidRPr="00082F7B">
        <w:rPr>
          <w:rFonts w:asciiTheme="majorHAnsi" w:hAnsiTheme="majorHAnsi"/>
          <w:szCs w:val="24"/>
        </w:rPr>
        <w:t>Pripadnost grupi ležišta</w:t>
      </w:r>
      <w:bookmarkEnd w:id="102"/>
      <w:bookmarkEnd w:id="103"/>
    </w:p>
    <w:p w14:paraId="3324A787" w14:textId="77777777" w:rsidR="00F653C8" w:rsidRPr="00082F7B" w:rsidRDefault="00F653C8" w:rsidP="00E8576A">
      <w:pPr>
        <w:spacing w:after="0" w:line="240" w:lineRule="auto"/>
        <w:rPr>
          <w:rFonts w:asciiTheme="majorHAnsi" w:hAnsiTheme="majorHAnsi"/>
          <w:sz w:val="24"/>
          <w:szCs w:val="24"/>
        </w:rPr>
      </w:pPr>
    </w:p>
    <w:p w14:paraId="621D1C91" w14:textId="2DA68443" w:rsidR="008516B5" w:rsidRPr="00082F7B" w:rsidRDefault="008516B5" w:rsidP="008516B5">
      <w:pPr>
        <w:spacing w:after="0" w:line="240" w:lineRule="auto"/>
        <w:jc w:val="both"/>
        <w:rPr>
          <w:rFonts w:asciiTheme="majorHAnsi" w:hAnsiTheme="majorHAnsi" w:cstheme="minorHAnsi"/>
          <w:sz w:val="24"/>
          <w:szCs w:val="24"/>
        </w:rPr>
      </w:pPr>
      <w:bookmarkStart w:id="104" w:name="_Toc402262957"/>
      <w:r w:rsidRPr="00082F7B">
        <w:rPr>
          <w:rFonts w:asciiTheme="majorHAnsi" w:hAnsiTheme="majorHAnsi" w:cstheme="minorHAnsi"/>
          <w:sz w:val="24"/>
          <w:szCs w:val="24"/>
        </w:rPr>
        <w:t>Ležište tehničko-građevinskog kamena „Štitarica-Taskavac“, prema navedenoj Uredbi, a na osnovu postojećih karakteristika i očekivanih uslova za eksploataciju, svrstana je u treću grupu geogenih ležišta (G</w:t>
      </w:r>
      <w:r w:rsidRPr="00082F7B">
        <w:rPr>
          <w:rFonts w:asciiTheme="majorHAnsi" w:hAnsiTheme="majorHAnsi" w:cstheme="minorHAnsi"/>
          <w:sz w:val="24"/>
          <w:szCs w:val="24"/>
          <w:vertAlign w:val="subscript"/>
        </w:rPr>
        <w:t>3</w:t>
      </w:r>
      <w:r w:rsidRPr="00082F7B">
        <w:rPr>
          <w:rFonts w:asciiTheme="majorHAnsi" w:hAnsiTheme="majorHAnsi" w:cstheme="minorHAnsi"/>
          <w:sz w:val="24"/>
          <w:szCs w:val="24"/>
        </w:rPr>
        <w:t>).</w:t>
      </w:r>
    </w:p>
    <w:p w14:paraId="11DDC2C4" w14:textId="055AFD4C" w:rsidR="008516B5" w:rsidRPr="00082F7B" w:rsidRDefault="008516B5" w:rsidP="008516B5">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Po tom osnovu procentni iznos</w:t>
      </w:r>
      <w:r w:rsidR="00F10732" w:rsidRPr="00082F7B">
        <w:rPr>
          <w:rFonts w:asciiTheme="majorHAnsi" w:hAnsiTheme="majorHAnsi" w:cstheme="minorHAnsi"/>
          <w:sz w:val="24"/>
          <w:szCs w:val="24"/>
        </w:rPr>
        <w:t xml:space="preserve"> za obračun minimalne - početne</w:t>
      </w:r>
      <w:r w:rsidRPr="00082F7B">
        <w:rPr>
          <w:rFonts w:asciiTheme="majorHAnsi" w:hAnsiTheme="majorHAnsi" w:cstheme="minorHAnsi"/>
          <w:sz w:val="24"/>
          <w:szCs w:val="24"/>
        </w:rPr>
        <w:t xml:space="preserve"> koncesione naknade (čl. 15 Uredbe) iznosi </w:t>
      </w:r>
      <w:r w:rsidRPr="00082F7B">
        <w:rPr>
          <w:rFonts w:asciiTheme="majorHAnsi" w:hAnsiTheme="majorHAnsi" w:cstheme="minorHAnsi"/>
          <w:b/>
          <w:sz w:val="24"/>
          <w:szCs w:val="24"/>
        </w:rPr>
        <w:t>7 %</w:t>
      </w:r>
      <w:r w:rsidRPr="00082F7B">
        <w:rPr>
          <w:rFonts w:asciiTheme="majorHAnsi" w:hAnsiTheme="majorHAnsi" w:cstheme="minorHAnsi"/>
          <w:sz w:val="24"/>
          <w:szCs w:val="24"/>
        </w:rPr>
        <w:t xml:space="preserve"> od tržišne vrijednosti eksploatacionih rezervi tehničko-građevinskog kamena, za koncesioni period za eksploataciju od 20 godina.</w:t>
      </w:r>
    </w:p>
    <w:p w14:paraId="038595C0" w14:textId="77777777" w:rsidR="008516B5" w:rsidRPr="00082F7B" w:rsidRDefault="008516B5" w:rsidP="008516B5">
      <w:pPr>
        <w:spacing w:after="0" w:line="240" w:lineRule="auto"/>
        <w:jc w:val="both"/>
        <w:rPr>
          <w:rFonts w:asciiTheme="majorHAnsi" w:hAnsiTheme="majorHAnsi" w:cstheme="minorHAnsi"/>
          <w:sz w:val="24"/>
          <w:szCs w:val="24"/>
        </w:rPr>
      </w:pPr>
    </w:p>
    <w:p w14:paraId="032C0614" w14:textId="25746211" w:rsidR="00F653C8" w:rsidRPr="00082F7B" w:rsidRDefault="00F653C8" w:rsidP="008516B5">
      <w:pPr>
        <w:pStyle w:val="Heading3"/>
        <w:rPr>
          <w:rFonts w:asciiTheme="majorHAnsi" w:hAnsiTheme="majorHAnsi"/>
          <w:szCs w:val="24"/>
        </w:rPr>
      </w:pPr>
      <w:bookmarkStart w:id="105" w:name="_Toc459633548"/>
      <w:r w:rsidRPr="00082F7B">
        <w:rPr>
          <w:rFonts w:asciiTheme="majorHAnsi" w:hAnsiTheme="majorHAnsi"/>
          <w:szCs w:val="24"/>
        </w:rPr>
        <w:t>Kvalitet mineralne sirovine</w:t>
      </w:r>
      <w:bookmarkEnd w:id="104"/>
      <w:bookmarkEnd w:id="105"/>
    </w:p>
    <w:p w14:paraId="4AF1DABF" w14:textId="77777777" w:rsidR="00F653C8" w:rsidRPr="00082F7B" w:rsidRDefault="00F653C8" w:rsidP="00F653C8">
      <w:pPr>
        <w:spacing w:after="0" w:line="240" w:lineRule="auto"/>
        <w:rPr>
          <w:rFonts w:asciiTheme="majorHAnsi" w:hAnsiTheme="majorHAnsi"/>
          <w:sz w:val="24"/>
          <w:szCs w:val="24"/>
        </w:rPr>
      </w:pPr>
    </w:p>
    <w:p w14:paraId="3B61B50B" w14:textId="77777777" w:rsidR="00F653C8" w:rsidRPr="00082F7B" w:rsidRDefault="00F653C8" w:rsidP="00F653C8">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Na osnovu podataka iz ovjerenog „Elaborata o klasifilaciji, kategorizaciji i proračunu rezervi tehničkog-građev</w:t>
      </w:r>
      <w:r w:rsidR="00E8576A" w:rsidRPr="00082F7B">
        <w:rPr>
          <w:rFonts w:asciiTheme="majorHAnsi" w:hAnsiTheme="majorHAnsi" w:cstheme="minorHAnsi"/>
          <w:sz w:val="24"/>
          <w:szCs w:val="24"/>
        </w:rPr>
        <w:t>inskog kamena ležišta „Štitarica-Taskavac</w:t>
      </w:r>
      <w:r w:rsidRPr="00082F7B">
        <w:rPr>
          <w:rFonts w:asciiTheme="majorHAnsi" w:hAnsiTheme="majorHAnsi" w:cstheme="minorHAnsi"/>
          <w:sz w:val="24"/>
          <w:szCs w:val="24"/>
        </w:rPr>
        <w:t xml:space="preserve">“, stanje </w:t>
      </w:r>
      <w:r w:rsidR="00E8576A" w:rsidRPr="00082F7B">
        <w:rPr>
          <w:rFonts w:asciiTheme="majorHAnsi" w:hAnsiTheme="majorHAnsi" w:cstheme="minorHAnsi"/>
          <w:sz w:val="24"/>
          <w:szCs w:val="24"/>
        </w:rPr>
        <w:t>31.12.2012</w:t>
      </w:r>
      <w:r w:rsidRPr="00082F7B">
        <w:rPr>
          <w:rFonts w:asciiTheme="majorHAnsi" w:hAnsiTheme="majorHAnsi" w:cstheme="minorHAnsi"/>
          <w:sz w:val="24"/>
          <w:szCs w:val="24"/>
        </w:rPr>
        <w:t>. godine“, mineralna sirovina iz ovog ležišta spada u red kvalitetnih.</w:t>
      </w:r>
    </w:p>
    <w:p w14:paraId="1ABBF667" w14:textId="77777777" w:rsidR="008516B5" w:rsidRPr="00082F7B" w:rsidRDefault="008516B5" w:rsidP="00F653C8">
      <w:pPr>
        <w:spacing w:after="0" w:line="240" w:lineRule="auto"/>
        <w:jc w:val="both"/>
        <w:rPr>
          <w:rFonts w:asciiTheme="majorHAnsi" w:hAnsiTheme="majorHAnsi" w:cstheme="minorHAnsi"/>
          <w:sz w:val="24"/>
          <w:szCs w:val="24"/>
        </w:rPr>
      </w:pPr>
    </w:p>
    <w:p w14:paraId="2778E494" w14:textId="77777777" w:rsidR="008516B5" w:rsidRPr="00082F7B" w:rsidRDefault="008516B5" w:rsidP="008516B5">
      <w:pPr>
        <w:jc w:val="both"/>
        <w:rPr>
          <w:rFonts w:asciiTheme="majorHAnsi" w:hAnsiTheme="majorHAnsi" w:cstheme="minorHAnsi"/>
          <w:b/>
          <w:sz w:val="24"/>
          <w:szCs w:val="24"/>
          <w:lang w:val="sr-Latn-CS"/>
        </w:rPr>
      </w:pPr>
      <w:r w:rsidRPr="00082F7B">
        <w:rPr>
          <w:rFonts w:asciiTheme="majorHAnsi" w:hAnsiTheme="majorHAnsi"/>
          <w:b/>
          <w:sz w:val="24"/>
          <w:szCs w:val="24"/>
          <w:lang w:val="sr-Latn-CS"/>
        </w:rPr>
        <w:t>Na osnovu rezultata mineraloško-petrografskih, hemijskih i fizičko-mehaničkih ispitivanja, tehničko-građevinski kamen (krečnjak) iz ležišta „Taskavac“ - Štitarica se</w:t>
      </w:r>
      <w:r w:rsidRPr="00082F7B">
        <w:rPr>
          <w:rFonts w:asciiTheme="majorHAnsi" w:hAnsiTheme="majorHAnsi"/>
          <w:b/>
          <w:sz w:val="24"/>
          <w:szCs w:val="24"/>
          <w:lang w:val="hr-HR"/>
        </w:rPr>
        <w:t xml:space="preserve"> u građevinarstvu</w:t>
      </w:r>
      <w:r w:rsidRPr="00082F7B">
        <w:rPr>
          <w:rFonts w:asciiTheme="majorHAnsi" w:hAnsiTheme="majorHAnsi"/>
          <w:b/>
          <w:sz w:val="24"/>
          <w:szCs w:val="24"/>
          <w:lang w:val="sr-Latn-CS"/>
        </w:rPr>
        <w:t xml:space="preserve"> može koristiti za:</w:t>
      </w:r>
    </w:p>
    <w:p w14:paraId="63E5CA4B" w14:textId="77777777" w:rsidR="008516B5" w:rsidRPr="00082F7B" w:rsidRDefault="008516B5" w:rsidP="008516B5">
      <w:pPr>
        <w:pStyle w:val="ListParagraph"/>
        <w:numPr>
          <w:ilvl w:val="0"/>
          <w:numId w:val="19"/>
        </w:numPr>
        <w:suppressAutoHyphens w:val="0"/>
        <w:spacing w:after="0" w:line="320" w:lineRule="atLeast"/>
        <w:jc w:val="both"/>
        <w:rPr>
          <w:rFonts w:asciiTheme="majorHAnsi" w:hAnsiTheme="majorHAnsi"/>
          <w:sz w:val="24"/>
          <w:szCs w:val="24"/>
        </w:rPr>
      </w:pPr>
      <w:r w:rsidRPr="00082F7B">
        <w:rPr>
          <w:rFonts w:asciiTheme="majorHAnsi" w:hAnsiTheme="majorHAnsi"/>
          <w:sz w:val="24"/>
          <w:szCs w:val="24"/>
          <w:lang w:val="hr-HR"/>
        </w:rPr>
        <w:lastRenderedPageBreak/>
        <w:t>proizvodnju agregata za izradu betona (SRPS B.B2.009),</w:t>
      </w:r>
    </w:p>
    <w:p w14:paraId="018E98DC" w14:textId="77777777" w:rsidR="008516B5" w:rsidRPr="00082F7B" w:rsidRDefault="008516B5" w:rsidP="008516B5">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izradu habajućih slojeva od asfaltnih betona po vrućem postupku za puteve sa lakim i vrlo lakim  saobraćajnim opterećenjem (SRPS U.E4.014.),</w:t>
      </w:r>
    </w:p>
    <w:p w14:paraId="568ADBD4" w14:textId="77777777" w:rsidR="008516B5" w:rsidRPr="00082F7B" w:rsidRDefault="008516B5" w:rsidP="008516B5">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klasične i savremene podloge za puteve (SRPS U.E9.020),</w:t>
      </w:r>
    </w:p>
    <w:p w14:paraId="28203ECB" w14:textId="77777777" w:rsidR="008516B5" w:rsidRPr="00082F7B" w:rsidRDefault="008516B5" w:rsidP="008516B5">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donje noseće slojeve od neveznog materijala (tehničke specifikacije Javnog preduzeća “Putevi Srbije“, 2007.),</w:t>
      </w:r>
    </w:p>
    <w:p w14:paraId="7815AA77" w14:textId="77777777" w:rsidR="008516B5" w:rsidRPr="00082F7B" w:rsidRDefault="008516B5" w:rsidP="008516B5">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agregata za gornje i donje noseće slojeve od bitumeniziranog materijala po vrućem postupku (SRPS U.E9.021 i SRPS U.E9.028),</w:t>
      </w:r>
    </w:p>
    <w:p w14:paraId="72398453" w14:textId="77777777" w:rsidR="008516B5" w:rsidRPr="00082F7B" w:rsidRDefault="008516B5" w:rsidP="008516B5">
      <w:pPr>
        <w:numPr>
          <w:ilvl w:val="0"/>
          <w:numId w:val="18"/>
        </w:numPr>
        <w:tabs>
          <w:tab w:val="clear" w:pos="360"/>
          <w:tab w:val="num" w:pos="720"/>
        </w:tabs>
        <w:suppressAutoHyphens w:val="0"/>
        <w:spacing w:after="0" w:line="240" w:lineRule="auto"/>
        <w:ind w:left="720"/>
        <w:jc w:val="both"/>
        <w:rPr>
          <w:rFonts w:asciiTheme="majorHAnsi" w:hAnsiTheme="majorHAnsi"/>
          <w:sz w:val="24"/>
          <w:szCs w:val="24"/>
          <w:lang w:val="hr-HR"/>
        </w:rPr>
      </w:pPr>
      <w:r w:rsidRPr="00082F7B">
        <w:rPr>
          <w:rFonts w:asciiTheme="majorHAnsi" w:hAnsiTheme="majorHAnsi"/>
          <w:sz w:val="24"/>
          <w:szCs w:val="24"/>
          <w:lang w:val="hr-HR"/>
        </w:rPr>
        <w:t>proizvodnju tucanika kategorije II za zastor željezničkih pruga (Upustvo za prijem i isporuku tucanika za zastor pruga na JŽ) i</w:t>
      </w:r>
    </w:p>
    <w:p w14:paraId="23964FFA" w14:textId="77777777" w:rsidR="008516B5" w:rsidRPr="00082F7B" w:rsidRDefault="008516B5" w:rsidP="008516B5">
      <w:pPr>
        <w:ind w:left="720"/>
        <w:jc w:val="both"/>
        <w:rPr>
          <w:rFonts w:asciiTheme="majorHAnsi" w:hAnsiTheme="majorHAnsi"/>
          <w:sz w:val="24"/>
          <w:szCs w:val="24"/>
          <w:lang w:val="hr-HR"/>
        </w:rPr>
      </w:pPr>
      <w:r w:rsidRPr="00082F7B">
        <w:rPr>
          <w:rFonts w:asciiTheme="majorHAnsi" w:hAnsiTheme="majorHAnsi"/>
          <w:sz w:val="24"/>
          <w:szCs w:val="24"/>
          <w:lang w:val="hr-HR"/>
        </w:rPr>
        <w:t>proizvodnju lomljenog kamena i tesanika za gruba zidanja u niskogradnji i hidrogradnji.</w:t>
      </w:r>
    </w:p>
    <w:p w14:paraId="37E899C5" w14:textId="77777777" w:rsidR="008516B5" w:rsidRPr="00082F7B" w:rsidRDefault="008516B5" w:rsidP="00F653C8">
      <w:pPr>
        <w:spacing w:after="0" w:line="240" w:lineRule="auto"/>
        <w:jc w:val="both"/>
        <w:rPr>
          <w:rFonts w:asciiTheme="majorHAnsi" w:hAnsiTheme="majorHAnsi" w:cstheme="minorHAnsi"/>
          <w:sz w:val="24"/>
          <w:szCs w:val="24"/>
        </w:rPr>
      </w:pPr>
    </w:p>
    <w:p w14:paraId="1426EABB" w14:textId="095C49D6" w:rsidR="00F653C8" w:rsidRPr="00082F7B" w:rsidRDefault="00F653C8" w:rsidP="008516B5">
      <w:pPr>
        <w:pStyle w:val="Heading3"/>
        <w:rPr>
          <w:rFonts w:asciiTheme="majorHAnsi" w:hAnsiTheme="majorHAnsi"/>
          <w:szCs w:val="24"/>
        </w:rPr>
      </w:pPr>
      <w:bookmarkStart w:id="106" w:name="_Toc402262958"/>
      <w:bookmarkStart w:id="107" w:name="_Toc459633549"/>
      <w:r w:rsidRPr="00082F7B">
        <w:rPr>
          <w:rFonts w:asciiTheme="majorHAnsi" w:hAnsiTheme="majorHAnsi"/>
          <w:szCs w:val="24"/>
        </w:rPr>
        <w:t>Tržišna vrijednost rezervi</w:t>
      </w:r>
      <w:bookmarkEnd w:id="106"/>
      <w:bookmarkEnd w:id="107"/>
    </w:p>
    <w:p w14:paraId="3407D2A3" w14:textId="77777777" w:rsidR="00F653C8" w:rsidRPr="00082F7B" w:rsidRDefault="00F653C8" w:rsidP="00F653C8">
      <w:pPr>
        <w:spacing w:after="0" w:line="240" w:lineRule="auto"/>
        <w:rPr>
          <w:rFonts w:asciiTheme="majorHAnsi" w:hAnsiTheme="majorHAnsi"/>
          <w:sz w:val="24"/>
          <w:szCs w:val="24"/>
        </w:rPr>
      </w:pPr>
    </w:p>
    <w:p w14:paraId="06732546" w14:textId="100491D8" w:rsidR="008516B5" w:rsidRPr="00082F7B" w:rsidRDefault="008516B5" w:rsidP="008516B5">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 xml:space="preserve">Na osnovu podataka, dostavljenih od Zavoda za statistiku, akt br. </w:t>
      </w:r>
      <w:r w:rsidR="000B1734" w:rsidRPr="00082F7B">
        <w:rPr>
          <w:rFonts w:asciiTheme="majorHAnsi" w:eastAsia="Times New Roman" w:hAnsiTheme="majorHAnsi" w:cstheme="minorHAnsi"/>
          <w:sz w:val="24"/>
          <w:szCs w:val="24"/>
        </w:rPr>
        <w:t>12-375/2 od 17.02.2016. godine</w:t>
      </w:r>
      <w:r w:rsidRPr="00082F7B">
        <w:rPr>
          <w:rFonts w:asciiTheme="majorHAnsi" w:eastAsia="Times New Roman" w:hAnsiTheme="majorHAnsi" w:cstheme="minorHAnsi"/>
          <w:sz w:val="24"/>
          <w:szCs w:val="24"/>
        </w:rPr>
        <w:t xml:space="preserve">. godine, </w:t>
      </w:r>
      <w:r w:rsidRPr="00082F7B">
        <w:rPr>
          <w:rFonts w:asciiTheme="majorHAnsi" w:hAnsiTheme="majorHAnsi" w:cstheme="minorHAnsi"/>
          <w:sz w:val="24"/>
          <w:szCs w:val="24"/>
        </w:rPr>
        <w:t xml:space="preserve">prosječna ostvarena cijena proizvoda mineralne sirovine tehničko-građevinskog kamena u Crnoj Gori u 2015. godini  (čl. 16 Uredbe) iznosu  </w:t>
      </w:r>
      <w:r w:rsidRPr="00082F7B">
        <w:rPr>
          <w:rFonts w:asciiTheme="majorHAnsi" w:hAnsiTheme="majorHAnsi" w:cstheme="minorHAnsi"/>
          <w:b/>
          <w:sz w:val="24"/>
          <w:szCs w:val="24"/>
        </w:rPr>
        <w:t>15,9</w:t>
      </w:r>
      <w:r w:rsidR="00F10732" w:rsidRPr="00082F7B">
        <w:rPr>
          <w:rFonts w:asciiTheme="majorHAnsi" w:hAnsiTheme="majorHAnsi" w:cstheme="minorHAnsi"/>
          <w:b/>
          <w:sz w:val="24"/>
          <w:szCs w:val="24"/>
        </w:rPr>
        <w:t>1</w:t>
      </w:r>
      <w:r w:rsidRPr="00082F7B">
        <w:rPr>
          <w:rFonts w:asciiTheme="majorHAnsi" w:hAnsiTheme="majorHAnsi" w:cstheme="minorHAnsi"/>
          <w:b/>
          <w:sz w:val="24"/>
          <w:szCs w:val="24"/>
        </w:rPr>
        <w:t xml:space="preserve"> €/m</w:t>
      </w:r>
      <w:r w:rsidRPr="00082F7B">
        <w:rPr>
          <w:rFonts w:asciiTheme="majorHAnsi" w:hAnsiTheme="majorHAnsi" w:cstheme="minorHAnsi"/>
          <w:b/>
          <w:sz w:val="24"/>
          <w:szCs w:val="24"/>
          <w:vertAlign w:val="superscript"/>
        </w:rPr>
        <w:t>3</w:t>
      </w:r>
      <w:r w:rsidRPr="00082F7B">
        <w:rPr>
          <w:rFonts w:asciiTheme="majorHAnsi" w:hAnsiTheme="majorHAnsi" w:cstheme="minorHAnsi"/>
          <w:sz w:val="24"/>
          <w:szCs w:val="24"/>
        </w:rPr>
        <w:t>.</w:t>
      </w:r>
    </w:p>
    <w:p w14:paraId="0A699EB0" w14:textId="77777777" w:rsidR="008516B5" w:rsidRPr="00082F7B" w:rsidRDefault="008516B5" w:rsidP="008516B5">
      <w:pPr>
        <w:spacing w:after="0" w:line="240" w:lineRule="auto"/>
        <w:jc w:val="both"/>
        <w:rPr>
          <w:rFonts w:asciiTheme="majorHAnsi" w:hAnsiTheme="majorHAnsi" w:cstheme="minorHAnsi"/>
          <w:sz w:val="24"/>
          <w:szCs w:val="24"/>
        </w:rPr>
      </w:pPr>
    </w:p>
    <w:p w14:paraId="10F97884" w14:textId="77777777" w:rsidR="008516B5" w:rsidRPr="00082F7B" w:rsidRDefault="008516B5" w:rsidP="008516B5">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 xml:space="preserve">Na osnovu usvojenih parametara, tržišna vrijednost  rezervi tehničko-građevinskog kamena koje se mogu otkopati, prema minimalnom godišnjem kapacitetu za 20 godina je: </w:t>
      </w:r>
    </w:p>
    <w:p w14:paraId="4D912ABB" w14:textId="77777777" w:rsidR="008516B5" w:rsidRPr="00082F7B" w:rsidRDefault="008516B5" w:rsidP="008516B5">
      <w:pPr>
        <w:spacing w:after="0" w:line="240" w:lineRule="auto"/>
        <w:jc w:val="both"/>
        <w:rPr>
          <w:rFonts w:asciiTheme="majorHAnsi" w:hAnsiTheme="majorHAnsi" w:cstheme="minorHAnsi"/>
          <w:sz w:val="24"/>
          <w:szCs w:val="24"/>
        </w:rPr>
      </w:pPr>
    </w:p>
    <w:p w14:paraId="74B1A83C" w14:textId="16F3DD3D" w:rsidR="008516B5" w:rsidRPr="00082F7B" w:rsidRDefault="003936D7" w:rsidP="008516B5">
      <w:pPr>
        <w:spacing w:after="0" w:line="240" w:lineRule="auto"/>
        <w:jc w:val="center"/>
        <w:rPr>
          <w:rFonts w:asciiTheme="majorHAnsi" w:hAnsiTheme="majorHAnsi" w:cstheme="minorHAnsi"/>
          <w:b/>
          <w:sz w:val="24"/>
          <w:szCs w:val="24"/>
        </w:rPr>
      </w:pPr>
      <w:r w:rsidRPr="00082F7B">
        <w:rPr>
          <w:rFonts w:asciiTheme="majorHAnsi" w:hAnsiTheme="majorHAnsi" w:cstheme="minorHAnsi"/>
          <w:b/>
          <w:sz w:val="24"/>
          <w:szCs w:val="24"/>
        </w:rPr>
        <w:t>VP= 280.000 m</w:t>
      </w:r>
      <w:r w:rsidRPr="00082F7B">
        <w:rPr>
          <w:rFonts w:asciiTheme="majorHAnsi" w:hAnsiTheme="majorHAnsi" w:cstheme="minorHAnsi"/>
          <w:b/>
          <w:sz w:val="24"/>
          <w:szCs w:val="24"/>
          <w:vertAlign w:val="superscript"/>
        </w:rPr>
        <w:t>3</w:t>
      </w:r>
      <w:r w:rsidRPr="00082F7B">
        <w:rPr>
          <w:rFonts w:asciiTheme="majorHAnsi" w:hAnsiTheme="majorHAnsi" w:cstheme="minorHAnsi"/>
          <w:b/>
          <w:sz w:val="24"/>
          <w:szCs w:val="24"/>
        </w:rPr>
        <w:t xml:space="preserve"> č.s.m. x 1,5 x 15,91 €/m</w:t>
      </w:r>
      <w:r w:rsidRPr="00082F7B">
        <w:rPr>
          <w:rFonts w:asciiTheme="majorHAnsi" w:hAnsiTheme="majorHAnsi" w:cstheme="minorHAnsi"/>
          <w:b/>
          <w:sz w:val="24"/>
          <w:szCs w:val="24"/>
          <w:vertAlign w:val="superscript"/>
        </w:rPr>
        <w:t>3</w:t>
      </w:r>
      <w:r w:rsidRPr="00082F7B">
        <w:rPr>
          <w:rFonts w:asciiTheme="majorHAnsi" w:hAnsiTheme="majorHAnsi" w:cstheme="minorHAnsi"/>
          <w:b/>
          <w:sz w:val="24"/>
          <w:szCs w:val="24"/>
        </w:rPr>
        <w:t xml:space="preserve"> = 6.682.200,00 € ili 334.110,00 €/godišnje</w:t>
      </w:r>
    </w:p>
    <w:p w14:paraId="74D6B49C" w14:textId="77777777" w:rsidR="00D7201F" w:rsidRPr="00082F7B" w:rsidRDefault="00D7201F" w:rsidP="00D7201F">
      <w:pPr>
        <w:pStyle w:val="Heading3"/>
        <w:rPr>
          <w:rFonts w:asciiTheme="majorHAnsi" w:hAnsiTheme="majorHAnsi"/>
          <w:szCs w:val="24"/>
        </w:rPr>
      </w:pPr>
      <w:bookmarkStart w:id="108" w:name="_Toc459633550"/>
      <w:r w:rsidRPr="00082F7B">
        <w:rPr>
          <w:rFonts w:asciiTheme="majorHAnsi" w:hAnsiTheme="majorHAnsi"/>
          <w:szCs w:val="24"/>
        </w:rPr>
        <w:t>Obračun minimalne koncesione naknade</w:t>
      </w:r>
      <w:bookmarkEnd w:id="108"/>
    </w:p>
    <w:p w14:paraId="6BDBC40C" w14:textId="77777777" w:rsidR="00D7201F" w:rsidRPr="00082F7B" w:rsidRDefault="00D7201F" w:rsidP="00D7201F">
      <w:pPr>
        <w:spacing w:after="0" w:line="240" w:lineRule="auto"/>
        <w:rPr>
          <w:rFonts w:asciiTheme="majorHAnsi" w:hAnsiTheme="majorHAnsi"/>
          <w:sz w:val="24"/>
          <w:szCs w:val="24"/>
        </w:rPr>
      </w:pPr>
    </w:p>
    <w:p w14:paraId="68FCF878" w14:textId="77777777" w:rsidR="00D7201F" w:rsidRPr="00082F7B" w:rsidRDefault="00D7201F" w:rsidP="00D7201F">
      <w:pPr>
        <w:spacing w:after="0" w:line="240" w:lineRule="auto"/>
        <w:jc w:val="both"/>
        <w:rPr>
          <w:rFonts w:asciiTheme="majorHAnsi" w:hAnsiTheme="majorHAnsi" w:cstheme="minorHAnsi"/>
          <w:b/>
          <w:sz w:val="24"/>
          <w:szCs w:val="24"/>
        </w:rPr>
      </w:pPr>
      <w:r w:rsidRPr="00082F7B">
        <w:rPr>
          <w:rFonts w:asciiTheme="majorHAnsi" w:hAnsiTheme="majorHAnsi" w:cstheme="minorHAnsi"/>
          <w:sz w:val="24"/>
          <w:szCs w:val="24"/>
        </w:rPr>
        <w:t>Minimalna koncesiona naknada za eksploataciju (čl. 18 Uredbe) obračunava se po obrascu:</w:t>
      </w:r>
    </w:p>
    <w:p w14:paraId="4BD4F407" w14:textId="77777777" w:rsidR="00D7201F" w:rsidRPr="00082F7B" w:rsidRDefault="00D7201F" w:rsidP="003936D7">
      <w:pPr>
        <w:spacing w:after="0" w:line="240" w:lineRule="auto"/>
        <w:jc w:val="center"/>
        <w:rPr>
          <w:rFonts w:asciiTheme="majorHAnsi" w:hAnsiTheme="majorHAnsi" w:cstheme="minorHAnsi"/>
          <w:b/>
          <w:sz w:val="24"/>
          <w:szCs w:val="24"/>
        </w:rPr>
      </w:pPr>
      <w:r w:rsidRPr="00082F7B">
        <w:rPr>
          <w:rFonts w:asciiTheme="majorHAnsi" w:hAnsiTheme="majorHAnsi" w:cstheme="minorHAnsi"/>
          <w:b/>
          <w:sz w:val="24"/>
          <w:szCs w:val="24"/>
        </w:rPr>
        <w:t>MDN= VP x G</w:t>
      </w:r>
    </w:p>
    <w:p w14:paraId="43A2819E" w14:textId="77777777" w:rsidR="00D7201F" w:rsidRPr="00082F7B" w:rsidRDefault="00D7201F" w:rsidP="00D7201F">
      <w:pPr>
        <w:spacing w:after="0" w:line="240" w:lineRule="auto"/>
        <w:jc w:val="both"/>
        <w:rPr>
          <w:rFonts w:asciiTheme="majorHAnsi" w:hAnsiTheme="majorHAnsi" w:cstheme="minorHAnsi"/>
          <w:sz w:val="24"/>
          <w:szCs w:val="24"/>
        </w:rPr>
      </w:pPr>
    </w:p>
    <w:p w14:paraId="4C535267"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gdje su</w:t>
      </w:r>
    </w:p>
    <w:p w14:paraId="55075676" w14:textId="77777777" w:rsidR="003936D7" w:rsidRPr="00082F7B" w:rsidRDefault="003936D7" w:rsidP="003936D7">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xml:space="preserve">VP </w:t>
      </w:r>
      <w:r w:rsidRPr="00082F7B">
        <w:rPr>
          <w:rFonts w:asciiTheme="majorHAnsi" w:hAnsiTheme="majorHAnsi" w:cstheme="minorHAnsi"/>
          <w:sz w:val="24"/>
          <w:szCs w:val="24"/>
        </w:rPr>
        <w:t>- vrijednost proizvodnje</w:t>
      </w:r>
      <w:r w:rsidRPr="00082F7B">
        <w:rPr>
          <w:rFonts w:asciiTheme="majorHAnsi" w:hAnsiTheme="majorHAnsi" w:cstheme="minorHAnsi"/>
          <w:b/>
          <w:sz w:val="24"/>
          <w:szCs w:val="24"/>
        </w:rPr>
        <w:t xml:space="preserve"> = 6.682.200,00 (za 20 godina)</w:t>
      </w:r>
    </w:p>
    <w:p w14:paraId="158CBDF1" w14:textId="77777777" w:rsidR="003936D7" w:rsidRPr="00082F7B" w:rsidRDefault="003936D7" w:rsidP="003936D7">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xml:space="preserve">VP </w:t>
      </w:r>
      <w:r w:rsidRPr="00082F7B">
        <w:rPr>
          <w:rFonts w:asciiTheme="majorHAnsi" w:hAnsiTheme="majorHAnsi" w:cstheme="minorHAnsi"/>
          <w:sz w:val="24"/>
          <w:szCs w:val="24"/>
        </w:rPr>
        <w:t>- vrijednost godišnje proizvodnje =</w:t>
      </w:r>
      <w:r w:rsidRPr="00082F7B">
        <w:rPr>
          <w:rFonts w:asciiTheme="majorHAnsi" w:hAnsiTheme="majorHAnsi" w:cstheme="minorHAnsi"/>
          <w:b/>
          <w:sz w:val="24"/>
          <w:szCs w:val="24"/>
        </w:rPr>
        <w:t xml:space="preserve"> 334.110,00 €</w:t>
      </w:r>
    </w:p>
    <w:p w14:paraId="535F8E8E" w14:textId="77777777" w:rsidR="003936D7" w:rsidRPr="00082F7B" w:rsidRDefault="003936D7" w:rsidP="003936D7">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xml:space="preserve">G </w:t>
      </w:r>
      <w:r w:rsidRPr="00082F7B">
        <w:rPr>
          <w:rFonts w:asciiTheme="majorHAnsi" w:hAnsiTheme="majorHAnsi" w:cstheme="minorHAnsi"/>
          <w:sz w:val="24"/>
          <w:szCs w:val="24"/>
        </w:rPr>
        <w:t>- minimalni procentni iznos</w:t>
      </w:r>
      <w:r w:rsidRPr="00082F7B">
        <w:rPr>
          <w:rFonts w:asciiTheme="majorHAnsi" w:hAnsiTheme="majorHAnsi" w:cstheme="minorHAnsi"/>
          <w:b/>
          <w:sz w:val="24"/>
          <w:szCs w:val="24"/>
        </w:rPr>
        <w:t xml:space="preserve"> (7%)</w:t>
      </w:r>
    </w:p>
    <w:p w14:paraId="13ECCCC8" w14:textId="77777777" w:rsidR="003936D7" w:rsidRPr="00082F7B" w:rsidRDefault="003936D7" w:rsidP="003936D7">
      <w:pPr>
        <w:spacing w:after="0" w:line="240" w:lineRule="auto"/>
        <w:jc w:val="both"/>
        <w:rPr>
          <w:rFonts w:asciiTheme="majorHAnsi" w:hAnsiTheme="majorHAnsi" w:cstheme="minorHAnsi"/>
          <w:b/>
          <w:sz w:val="24"/>
          <w:szCs w:val="24"/>
        </w:rPr>
      </w:pPr>
    </w:p>
    <w:p w14:paraId="7E78DD68" w14:textId="77777777" w:rsidR="003936D7" w:rsidRPr="00082F7B" w:rsidRDefault="003936D7" w:rsidP="003936D7">
      <w:pPr>
        <w:spacing w:after="0" w:line="240" w:lineRule="auto"/>
        <w:jc w:val="center"/>
        <w:rPr>
          <w:rFonts w:asciiTheme="majorHAnsi" w:hAnsiTheme="majorHAnsi" w:cstheme="minorHAnsi"/>
          <w:b/>
          <w:sz w:val="24"/>
          <w:szCs w:val="24"/>
        </w:rPr>
      </w:pPr>
      <w:r w:rsidRPr="00082F7B">
        <w:rPr>
          <w:rFonts w:asciiTheme="majorHAnsi" w:hAnsiTheme="majorHAnsi" w:cstheme="minorHAnsi"/>
          <w:b/>
          <w:sz w:val="24"/>
          <w:szCs w:val="24"/>
        </w:rPr>
        <w:t>MDN = 6.682.200,00 x 0,07 =  467.754,00 € (ukupno za 20 godina)</w:t>
      </w:r>
    </w:p>
    <w:p w14:paraId="23CFBD72" w14:textId="7E1F393F" w:rsidR="00D7201F" w:rsidRPr="00082F7B" w:rsidRDefault="003936D7" w:rsidP="003936D7">
      <w:pPr>
        <w:spacing w:after="0" w:line="240" w:lineRule="auto"/>
        <w:jc w:val="center"/>
        <w:rPr>
          <w:rFonts w:asciiTheme="majorHAnsi" w:hAnsiTheme="majorHAnsi" w:cstheme="minorHAnsi"/>
          <w:b/>
          <w:sz w:val="24"/>
          <w:szCs w:val="24"/>
        </w:rPr>
      </w:pPr>
      <w:r w:rsidRPr="00082F7B">
        <w:rPr>
          <w:rFonts w:asciiTheme="majorHAnsi" w:hAnsiTheme="majorHAnsi" w:cstheme="minorHAnsi"/>
          <w:b/>
          <w:sz w:val="24"/>
          <w:szCs w:val="24"/>
        </w:rPr>
        <w:t>MDN = 334.110,00 x 0,07 =  23.387,70 €/godišnje</w:t>
      </w:r>
    </w:p>
    <w:p w14:paraId="73A375B5" w14:textId="77777777" w:rsidR="00D7201F" w:rsidRPr="00082F7B" w:rsidRDefault="00D7201F" w:rsidP="00D7201F">
      <w:pPr>
        <w:spacing w:after="0" w:line="240" w:lineRule="auto"/>
        <w:jc w:val="center"/>
        <w:rPr>
          <w:rFonts w:asciiTheme="majorHAnsi" w:hAnsiTheme="majorHAnsi" w:cstheme="minorHAnsi"/>
          <w:sz w:val="24"/>
          <w:szCs w:val="24"/>
        </w:rPr>
      </w:pPr>
    </w:p>
    <w:p w14:paraId="60E7A2E7"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Koncesiona naknada (čl. 19 Uredbe) za eksploataciju sastoji se iz stalnog (SDN)  (nepromjenjivog) i promjenjivog (PDN) dijela naknade.</w:t>
      </w:r>
    </w:p>
    <w:p w14:paraId="31616564" w14:textId="77777777" w:rsidR="00D7201F" w:rsidRPr="00082F7B" w:rsidRDefault="00D7201F" w:rsidP="00D7201F">
      <w:pPr>
        <w:spacing w:after="0" w:line="240" w:lineRule="auto"/>
        <w:jc w:val="both"/>
        <w:rPr>
          <w:rFonts w:asciiTheme="majorHAnsi" w:hAnsiTheme="majorHAnsi" w:cstheme="minorHAnsi"/>
          <w:sz w:val="24"/>
          <w:szCs w:val="24"/>
        </w:rPr>
      </w:pPr>
    </w:p>
    <w:p w14:paraId="007B6F45"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lastRenderedPageBreak/>
        <w:t>Obračunata minimalna koncesiona naknada  predstavlja minimalni iznos stalnog (nepromjenjivog) dijela koncesione naknade:</w:t>
      </w:r>
    </w:p>
    <w:p w14:paraId="1A68578D" w14:textId="77777777" w:rsidR="00D7201F" w:rsidRPr="00082F7B" w:rsidRDefault="00D7201F" w:rsidP="00D7201F">
      <w:pPr>
        <w:spacing w:after="0" w:line="240" w:lineRule="auto"/>
        <w:jc w:val="both"/>
        <w:rPr>
          <w:rFonts w:asciiTheme="majorHAnsi" w:hAnsiTheme="majorHAnsi" w:cstheme="minorHAnsi"/>
          <w:sz w:val="24"/>
          <w:szCs w:val="24"/>
        </w:rPr>
      </w:pPr>
    </w:p>
    <w:p w14:paraId="38EC3C26" w14:textId="77777777" w:rsidR="003936D7" w:rsidRPr="00082F7B" w:rsidRDefault="003936D7" w:rsidP="003936D7">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xml:space="preserve">Za period od 20 godina SDN = 467.754,00 € </w:t>
      </w:r>
    </w:p>
    <w:p w14:paraId="59CC5B17" w14:textId="77777777" w:rsidR="003936D7" w:rsidRPr="00082F7B" w:rsidRDefault="003936D7" w:rsidP="003936D7">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 SDN (godišnje) = 23.387,70 €.</w:t>
      </w:r>
    </w:p>
    <w:p w14:paraId="7ABCD33D" w14:textId="77777777" w:rsidR="00D7201F" w:rsidRPr="00082F7B" w:rsidRDefault="00D7201F" w:rsidP="00D7201F">
      <w:pPr>
        <w:spacing w:after="0" w:line="240" w:lineRule="auto"/>
        <w:jc w:val="both"/>
        <w:rPr>
          <w:rFonts w:asciiTheme="majorHAnsi" w:hAnsiTheme="majorHAnsi" w:cstheme="minorHAnsi"/>
          <w:b/>
          <w:sz w:val="24"/>
          <w:szCs w:val="24"/>
        </w:rPr>
      </w:pPr>
    </w:p>
    <w:p w14:paraId="3900CAE0" w14:textId="77777777" w:rsidR="00D7201F" w:rsidRPr="00082F7B" w:rsidRDefault="00D7201F" w:rsidP="00D7201F">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Stalni dio koncesione naknade koji se utvrđuje Ugovorom o koncesiji, može, u zavisnosti od ponuda biti veći, a ne manji od obračunatog minimalnog iznosa.</w:t>
      </w:r>
    </w:p>
    <w:p w14:paraId="6E73D168" w14:textId="77777777" w:rsidR="00D7201F" w:rsidRPr="00082F7B" w:rsidRDefault="00D7201F" w:rsidP="00D7201F">
      <w:pPr>
        <w:spacing w:after="0" w:line="240" w:lineRule="auto"/>
        <w:jc w:val="both"/>
        <w:rPr>
          <w:rFonts w:asciiTheme="majorHAnsi" w:hAnsiTheme="majorHAnsi" w:cstheme="minorHAnsi"/>
          <w:b/>
          <w:sz w:val="24"/>
          <w:szCs w:val="24"/>
        </w:rPr>
      </w:pPr>
    </w:p>
    <w:p w14:paraId="6C358168" w14:textId="77777777" w:rsidR="00D7201F" w:rsidRPr="00082F7B" w:rsidRDefault="00D7201F" w:rsidP="00D7201F">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Zainteresovani ponuđači treba svojim ponudama, a u zavisnosti od sopstvene ekonomsko-finansijske analize, da ponude godišnji obim proizvodnje i procentualni iznos za obračun koncesione naknade, koji ne mogu biti manji od elemenata na osnovu kojih je obračunat minimalni iznos naknade. Ovo predstavlja jedan od osnovnih kriterijuma za vrednovanje ponuda.</w:t>
      </w:r>
    </w:p>
    <w:p w14:paraId="5BB27215" w14:textId="77777777" w:rsidR="00D7201F" w:rsidRPr="00082F7B" w:rsidRDefault="00D7201F" w:rsidP="00D7201F">
      <w:pPr>
        <w:spacing w:after="0" w:line="240" w:lineRule="auto"/>
        <w:jc w:val="both"/>
        <w:rPr>
          <w:rFonts w:asciiTheme="majorHAnsi" w:hAnsiTheme="majorHAnsi" w:cstheme="minorHAnsi"/>
          <w:sz w:val="24"/>
          <w:szCs w:val="24"/>
        </w:rPr>
      </w:pPr>
    </w:p>
    <w:p w14:paraId="67CF80D8"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Ugovoreni godišnji iznos SDN Koncesionar plaća tokom konesionog perioda u jednakim polugodišnjim ratama do kraja juna, odnosno, decembra tekuće godine.</w:t>
      </w:r>
    </w:p>
    <w:p w14:paraId="1E8EC9EB" w14:textId="77777777" w:rsidR="00D7201F" w:rsidRPr="00082F7B" w:rsidRDefault="00D7201F" w:rsidP="00D7201F">
      <w:pPr>
        <w:spacing w:after="0" w:line="240" w:lineRule="auto"/>
        <w:jc w:val="both"/>
        <w:rPr>
          <w:rFonts w:asciiTheme="majorHAnsi" w:hAnsiTheme="majorHAnsi" w:cstheme="minorHAnsi"/>
          <w:b/>
          <w:sz w:val="24"/>
          <w:szCs w:val="24"/>
        </w:rPr>
      </w:pPr>
    </w:p>
    <w:p w14:paraId="66E501FA"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09" w:name="_Toc402262960"/>
      <w:bookmarkStart w:id="110" w:name="_Toc459633551"/>
      <w:r w:rsidRPr="00082F7B">
        <w:rPr>
          <w:rFonts w:asciiTheme="majorHAnsi" w:hAnsiTheme="majorHAnsi"/>
          <w:szCs w:val="24"/>
        </w:rPr>
        <w:t>Promjenjivi dio koncesione naknade (PDN)</w:t>
      </w:r>
      <w:bookmarkEnd w:id="109"/>
      <w:bookmarkEnd w:id="110"/>
    </w:p>
    <w:p w14:paraId="7A89CA34" w14:textId="77777777" w:rsidR="00D7201F" w:rsidRPr="00082F7B" w:rsidRDefault="00D7201F" w:rsidP="00D7201F">
      <w:pPr>
        <w:spacing w:after="0" w:line="240" w:lineRule="auto"/>
        <w:rPr>
          <w:rFonts w:asciiTheme="majorHAnsi" w:hAnsiTheme="majorHAnsi"/>
          <w:sz w:val="24"/>
          <w:szCs w:val="24"/>
        </w:rPr>
      </w:pPr>
    </w:p>
    <w:p w14:paraId="131F2CCC"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Promjenjivi dio naknade obračunava se godišnje po obrascu:</w:t>
      </w:r>
    </w:p>
    <w:p w14:paraId="2E0643FC" w14:textId="77777777" w:rsidR="00D7201F" w:rsidRPr="00082F7B" w:rsidRDefault="00D7201F" w:rsidP="003936D7">
      <w:pPr>
        <w:jc w:val="center"/>
        <w:rPr>
          <w:rFonts w:asciiTheme="majorHAnsi" w:hAnsiTheme="majorHAnsi" w:cstheme="minorHAnsi"/>
          <w:b/>
          <w:sz w:val="24"/>
          <w:szCs w:val="24"/>
          <w:lang w:val="sr-Latn-CS"/>
        </w:rPr>
      </w:pPr>
      <w:r w:rsidRPr="00082F7B">
        <w:rPr>
          <w:rFonts w:asciiTheme="majorHAnsi" w:hAnsiTheme="majorHAnsi" w:cstheme="minorHAnsi"/>
          <w:b/>
          <w:sz w:val="24"/>
          <w:szCs w:val="24"/>
          <w:lang w:val="sr-Latn-CS"/>
        </w:rPr>
        <w:t>PDN = VP x (G x K) &gt; SDN (godišnjeg iznosa),</w:t>
      </w:r>
    </w:p>
    <w:p w14:paraId="416AE507"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gdje su:</w:t>
      </w:r>
    </w:p>
    <w:p w14:paraId="3CE10626" w14:textId="77777777" w:rsidR="00D7201F" w:rsidRPr="00082F7B" w:rsidRDefault="00D7201F" w:rsidP="00D7201F">
      <w:pPr>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VP - godišnja vrijednost proizvodnje obračunata na osnovu ostvarene godišnje proizvodnje mineralne sirovine i prosječne godišnje prodajne cijene priozvoda</w:t>
      </w:r>
    </w:p>
    <w:p w14:paraId="1FB5BA05" w14:textId="77777777" w:rsidR="00D7201F" w:rsidRPr="00082F7B" w:rsidRDefault="00D7201F" w:rsidP="00D7201F">
      <w:pPr>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G - ugovoreni procentualni iznos za pripadnost grupi ležišta (ne manji od 7%)</w:t>
      </w:r>
    </w:p>
    <w:p w14:paraId="19AE1FF8"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K - vrijednost korektivnih faktora</w:t>
      </w:r>
    </w:p>
    <w:p w14:paraId="480D31E1"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Vrijednost korektivnih faktora:</w:t>
      </w:r>
    </w:p>
    <w:p w14:paraId="3D3F54D6" w14:textId="77777777" w:rsidR="00D7201F" w:rsidRPr="00082F7B" w:rsidRDefault="00D7201F" w:rsidP="00D7201F">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 osnovu kvaliteta mineralne sirovine, obračunati iznos se ne uvećava niti se umanjuje (čl. 17 Uredbe); i</w:t>
      </w:r>
    </w:p>
    <w:p w14:paraId="41A67640" w14:textId="77777777" w:rsidR="00D7201F" w:rsidRPr="00082F7B" w:rsidRDefault="00D7201F" w:rsidP="00D7201F">
      <w:pPr>
        <w:numPr>
          <w:ilvl w:val="0"/>
          <w:numId w:val="21"/>
        </w:numPr>
        <w:suppressAutoHyphens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 osnovu ostvarene proizvodnje, obračunati iznos se uvećava od 0 do 3% (čl. 21 Uredbe).</w:t>
      </w:r>
    </w:p>
    <w:p w14:paraId="2A134D4B"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Promjenjivi dio naknade obračunava se na kraju svake godine.. Uplata se vrši jedanput godišnje na osnovu Rješenja nadležnog ministarstva.</w:t>
      </w:r>
    </w:p>
    <w:p w14:paraId="4188FA22"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Obračun PDN se vrši na osnovu dokumentacije:</w:t>
      </w:r>
    </w:p>
    <w:p w14:paraId="3EF0B38F" w14:textId="77777777" w:rsidR="00D7201F" w:rsidRPr="00082F7B" w:rsidRDefault="00D7201F" w:rsidP="00D7201F">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lastRenderedPageBreak/>
        <w:t>godišnjeg tehničkog izvještaja;</w:t>
      </w:r>
    </w:p>
    <w:p w14:paraId="33253A2F" w14:textId="77777777" w:rsidR="00D7201F" w:rsidRPr="00082F7B" w:rsidRDefault="00D7201F" w:rsidP="00D7201F">
      <w:pPr>
        <w:numPr>
          <w:ilvl w:val="0"/>
          <w:numId w:val="21"/>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izvještaja o radu i ostvarenom prihodu po osnovu ostvarene proizvodnje mineralne sirovine i</w:t>
      </w:r>
    </w:p>
    <w:p w14:paraId="3635F09F" w14:textId="77777777" w:rsidR="00D7201F" w:rsidRPr="00082F7B" w:rsidRDefault="00D7201F" w:rsidP="00D7201F">
      <w:pPr>
        <w:numPr>
          <w:ilvl w:val="0"/>
          <w:numId w:val="21"/>
        </w:numPr>
        <w:suppressAutoHyphens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dokaza o količinama i prosječno ostvarenim prodajnim cijenama jedinice proizvoda na domaćem i stranom tržištu.</w:t>
      </w:r>
    </w:p>
    <w:p w14:paraId="4E5CCB8B"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Dokumentaciju za obračun PDN podnosi koncesionar najkasnije do kraja marta tekuće, za prethodnu godinu.</w:t>
      </w:r>
    </w:p>
    <w:p w14:paraId="58F96DC9" w14:textId="77777777" w:rsidR="00D7201F" w:rsidRPr="00082F7B" w:rsidRDefault="00D7201F" w:rsidP="00D7201F">
      <w:pPr>
        <w:spacing w:after="0" w:line="240" w:lineRule="auto"/>
        <w:jc w:val="both"/>
        <w:rPr>
          <w:rFonts w:asciiTheme="majorHAnsi" w:hAnsiTheme="majorHAnsi" w:cstheme="minorHAnsi"/>
          <w:sz w:val="24"/>
          <w:szCs w:val="24"/>
        </w:rPr>
      </w:pPr>
    </w:p>
    <w:p w14:paraId="73F58D23" w14:textId="77777777" w:rsidR="00D7201F" w:rsidRPr="00082F7B" w:rsidRDefault="00D7201F" w:rsidP="00D7201F">
      <w:pPr>
        <w:spacing w:after="0" w:line="240" w:lineRule="auto"/>
        <w:jc w:val="both"/>
        <w:rPr>
          <w:rFonts w:asciiTheme="majorHAnsi" w:hAnsiTheme="majorHAnsi" w:cstheme="minorHAnsi"/>
          <w:sz w:val="28"/>
          <w:szCs w:val="28"/>
        </w:rPr>
      </w:pPr>
    </w:p>
    <w:p w14:paraId="2E345EBE" w14:textId="77777777" w:rsidR="00D7201F" w:rsidRPr="00082F7B" w:rsidRDefault="00D7201F" w:rsidP="00D7201F">
      <w:pPr>
        <w:pStyle w:val="Heading1"/>
        <w:spacing w:before="0" w:after="0" w:line="240" w:lineRule="auto"/>
        <w:jc w:val="both"/>
        <w:rPr>
          <w:rFonts w:asciiTheme="majorHAnsi" w:hAnsiTheme="majorHAnsi"/>
          <w:szCs w:val="28"/>
        </w:rPr>
      </w:pPr>
      <w:bookmarkStart w:id="111" w:name="_Toc390549915"/>
      <w:bookmarkStart w:id="112" w:name="_Toc402262961"/>
      <w:bookmarkStart w:id="113" w:name="_Toc459633552"/>
      <w:r w:rsidRPr="00082F7B">
        <w:rPr>
          <w:rFonts w:asciiTheme="majorHAnsi" w:hAnsiTheme="majorHAnsi"/>
          <w:szCs w:val="28"/>
        </w:rPr>
        <w:t>Kriterijumi za izbor najpovoljnije ponude</w:t>
      </w:r>
      <w:bookmarkEnd w:id="111"/>
      <w:bookmarkEnd w:id="112"/>
      <w:bookmarkEnd w:id="113"/>
      <w:r w:rsidRPr="00082F7B">
        <w:rPr>
          <w:rFonts w:asciiTheme="majorHAnsi" w:hAnsiTheme="majorHAnsi"/>
          <w:szCs w:val="28"/>
        </w:rPr>
        <w:t xml:space="preserve"> </w:t>
      </w:r>
    </w:p>
    <w:p w14:paraId="2A236F93" w14:textId="77777777" w:rsidR="00D7201F" w:rsidRPr="00082F7B" w:rsidRDefault="00D7201F" w:rsidP="00D7201F">
      <w:pPr>
        <w:spacing w:after="0" w:line="240" w:lineRule="auto"/>
        <w:rPr>
          <w:rFonts w:asciiTheme="majorHAnsi" w:hAnsiTheme="majorHAnsi" w:cstheme="minorHAnsi"/>
          <w:sz w:val="24"/>
          <w:szCs w:val="24"/>
        </w:rPr>
      </w:pPr>
    </w:p>
    <w:p w14:paraId="2C7C17FF"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Kriterijumi na osnovu kojih se vrši vrednovanje ponuda su sljedeći:</w:t>
      </w:r>
    </w:p>
    <w:p w14:paraId="2FB150F4" w14:textId="77777777" w:rsidR="00D7201F" w:rsidRPr="00082F7B" w:rsidRDefault="00D7201F" w:rsidP="00D7201F">
      <w:pPr>
        <w:spacing w:after="0" w:line="240" w:lineRule="auto"/>
        <w:jc w:val="both"/>
        <w:rPr>
          <w:rFonts w:asciiTheme="majorHAnsi" w:hAnsiTheme="majorHAnsi" w:cstheme="minorHAns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8"/>
        <w:gridCol w:w="7290"/>
        <w:gridCol w:w="1638"/>
      </w:tblGrid>
      <w:tr w:rsidR="00D7201F" w:rsidRPr="00082F7B" w14:paraId="644152AC" w14:textId="77777777" w:rsidTr="00CC506B">
        <w:trPr>
          <w:trHeight w:val="285"/>
        </w:trPr>
        <w:tc>
          <w:tcPr>
            <w:tcW w:w="648" w:type="dxa"/>
            <w:tcBorders>
              <w:top w:val="single" w:sz="18" w:space="0" w:color="auto"/>
              <w:left w:val="single" w:sz="18" w:space="0" w:color="auto"/>
              <w:bottom w:val="single" w:sz="18" w:space="0" w:color="auto"/>
              <w:right w:val="single" w:sz="12" w:space="0" w:color="auto"/>
            </w:tcBorders>
            <w:shd w:val="clear" w:color="auto" w:fill="FFFFFF" w:themeFill="background1"/>
          </w:tcPr>
          <w:p w14:paraId="407B66C6"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R.B.</w:t>
            </w:r>
          </w:p>
        </w:tc>
        <w:tc>
          <w:tcPr>
            <w:tcW w:w="7290" w:type="dxa"/>
            <w:tcBorders>
              <w:top w:val="single" w:sz="18" w:space="0" w:color="auto"/>
              <w:left w:val="single" w:sz="12" w:space="0" w:color="auto"/>
              <w:bottom w:val="single" w:sz="18" w:space="0" w:color="auto"/>
              <w:right w:val="single" w:sz="2" w:space="0" w:color="auto"/>
            </w:tcBorders>
            <w:shd w:val="clear" w:color="auto" w:fill="FFFFFF" w:themeFill="background1"/>
          </w:tcPr>
          <w:p w14:paraId="5922945E"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K R I T E R I J U M I</w:t>
            </w:r>
          </w:p>
        </w:tc>
        <w:tc>
          <w:tcPr>
            <w:tcW w:w="1638" w:type="dxa"/>
            <w:tcBorders>
              <w:top w:val="single" w:sz="18" w:space="0" w:color="auto"/>
              <w:left w:val="single" w:sz="2" w:space="0" w:color="auto"/>
              <w:bottom w:val="single" w:sz="18" w:space="0" w:color="auto"/>
              <w:right w:val="single" w:sz="18" w:space="0" w:color="auto"/>
            </w:tcBorders>
            <w:shd w:val="clear" w:color="auto" w:fill="FFFFFF" w:themeFill="background1"/>
          </w:tcPr>
          <w:p w14:paraId="1EA2BD35"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Broj bodova</w:t>
            </w:r>
          </w:p>
        </w:tc>
      </w:tr>
      <w:tr w:rsidR="00D7201F" w:rsidRPr="00082F7B" w14:paraId="124287B9" w14:textId="77777777" w:rsidTr="00CC506B">
        <w:tc>
          <w:tcPr>
            <w:tcW w:w="648" w:type="dxa"/>
            <w:tcBorders>
              <w:top w:val="single" w:sz="18" w:space="0" w:color="auto"/>
              <w:left w:val="single" w:sz="18" w:space="0" w:color="auto"/>
              <w:bottom w:val="single" w:sz="4" w:space="0" w:color="auto"/>
              <w:right w:val="single" w:sz="12" w:space="0" w:color="auto"/>
            </w:tcBorders>
          </w:tcPr>
          <w:p w14:paraId="390D8812"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1</w:t>
            </w:r>
          </w:p>
        </w:tc>
        <w:tc>
          <w:tcPr>
            <w:tcW w:w="7290" w:type="dxa"/>
            <w:tcBorders>
              <w:top w:val="single" w:sz="18" w:space="0" w:color="auto"/>
              <w:left w:val="single" w:sz="12" w:space="0" w:color="auto"/>
              <w:bottom w:val="single" w:sz="4" w:space="0" w:color="auto"/>
              <w:right w:val="single" w:sz="2" w:space="0" w:color="auto"/>
            </w:tcBorders>
          </w:tcPr>
          <w:p w14:paraId="5729F07B"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Ponuđeni procentualni iznos za obračun koncesione naknade</w:t>
            </w:r>
          </w:p>
        </w:tc>
        <w:tc>
          <w:tcPr>
            <w:tcW w:w="1638" w:type="dxa"/>
            <w:tcBorders>
              <w:top w:val="single" w:sz="18" w:space="0" w:color="auto"/>
              <w:left w:val="single" w:sz="2" w:space="0" w:color="auto"/>
              <w:right w:val="single" w:sz="18" w:space="0" w:color="auto"/>
            </w:tcBorders>
          </w:tcPr>
          <w:p w14:paraId="7EFB85A2"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40</w:t>
            </w:r>
          </w:p>
        </w:tc>
      </w:tr>
      <w:tr w:rsidR="00D7201F" w:rsidRPr="00082F7B" w14:paraId="0AF4FDE5" w14:textId="77777777" w:rsidTr="00CC506B">
        <w:tc>
          <w:tcPr>
            <w:tcW w:w="648" w:type="dxa"/>
            <w:tcBorders>
              <w:left w:val="single" w:sz="18" w:space="0" w:color="auto"/>
              <w:right w:val="single" w:sz="12" w:space="0" w:color="auto"/>
            </w:tcBorders>
          </w:tcPr>
          <w:p w14:paraId="1D5D7F07"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2</w:t>
            </w:r>
          </w:p>
        </w:tc>
        <w:tc>
          <w:tcPr>
            <w:tcW w:w="7290" w:type="dxa"/>
            <w:tcBorders>
              <w:left w:val="single" w:sz="12" w:space="0" w:color="auto"/>
              <w:bottom w:val="single" w:sz="4" w:space="0" w:color="auto"/>
              <w:right w:val="single" w:sz="2" w:space="0" w:color="auto"/>
            </w:tcBorders>
          </w:tcPr>
          <w:p w14:paraId="26DEF993"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 xml:space="preserve">Ponuđeni obim godišnje rudarske proizvodnje </w:t>
            </w:r>
          </w:p>
        </w:tc>
        <w:tc>
          <w:tcPr>
            <w:tcW w:w="1638" w:type="dxa"/>
            <w:tcBorders>
              <w:left w:val="single" w:sz="2" w:space="0" w:color="auto"/>
              <w:right w:val="single" w:sz="18" w:space="0" w:color="auto"/>
            </w:tcBorders>
          </w:tcPr>
          <w:p w14:paraId="5319418F"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20</w:t>
            </w:r>
          </w:p>
        </w:tc>
      </w:tr>
      <w:tr w:rsidR="00D7201F" w:rsidRPr="00082F7B" w14:paraId="350A323A" w14:textId="77777777" w:rsidTr="00CC506B">
        <w:tc>
          <w:tcPr>
            <w:tcW w:w="648" w:type="dxa"/>
            <w:tcBorders>
              <w:left w:val="single" w:sz="18" w:space="0" w:color="auto"/>
              <w:right w:val="single" w:sz="12" w:space="0" w:color="auto"/>
            </w:tcBorders>
          </w:tcPr>
          <w:p w14:paraId="73BCDFBA"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3</w:t>
            </w:r>
          </w:p>
        </w:tc>
        <w:tc>
          <w:tcPr>
            <w:tcW w:w="7290" w:type="dxa"/>
            <w:tcBorders>
              <w:top w:val="single" w:sz="4" w:space="0" w:color="auto"/>
              <w:left w:val="single" w:sz="12" w:space="0" w:color="auto"/>
              <w:right w:val="single" w:sz="2" w:space="0" w:color="auto"/>
            </w:tcBorders>
          </w:tcPr>
          <w:p w14:paraId="2FDFE2D9"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Rok trajanje koncesije</w:t>
            </w:r>
          </w:p>
        </w:tc>
        <w:tc>
          <w:tcPr>
            <w:tcW w:w="1638" w:type="dxa"/>
            <w:tcBorders>
              <w:left w:val="single" w:sz="2" w:space="0" w:color="auto"/>
              <w:right w:val="single" w:sz="18" w:space="0" w:color="auto"/>
            </w:tcBorders>
          </w:tcPr>
          <w:p w14:paraId="3B0E7779"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5</w:t>
            </w:r>
          </w:p>
        </w:tc>
      </w:tr>
      <w:tr w:rsidR="00D7201F" w:rsidRPr="00082F7B" w14:paraId="54E3CDBC" w14:textId="77777777" w:rsidTr="00CC506B">
        <w:tc>
          <w:tcPr>
            <w:tcW w:w="648" w:type="dxa"/>
            <w:tcBorders>
              <w:left w:val="single" w:sz="18" w:space="0" w:color="auto"/>
              <w:right w:val="single" w:sz="12" w:space="0" w:color="auto"/>
            </w:tcBorders>
          </w:tcPr>
          <w:p w14:paraId="6335A9AB"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4</w:t>
            </w:r>
          </w:p>
        </w:tc>
        <w:tc>
          <w:tcPr>
            <w:tcW w:w="7290" w:type="dxa"/>
            <w:tcBorders>
              <w:left w:val="single" w:sz="12" w:space="0" w:color="auto"/>
              <w:right w:val="single" w:sz="2" w:space="0" w:color="auto"/>
            </w:tcBorders>
          </w:tcPr>
          <w:p w14:paraId="1CBAF3B8"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 xml:space="preserve">Reference ponuđača </w:t>
            </w:r>
          </w:p>
        </w:tc>
        <w:tc>
          <w:tcPr>
            <w:tcW w:w="1638" w:type="dxa"/>
            <w:tcBorders>
              <w:left w:val="single" w:sz="2" w:space="0" w:color="auto"/>
              <w:right w:val="single" w:sz="18" w:space="0" w:color="auto"/>
            </w:tcBorders>
          </w:tcPr>
          <w:p w14:paraId="4B249137"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20</w:t>
            </w:r>
          </w:p>
        </w:tc>
      </w:tr>
      <w:tr w:rsidR="00D7201F" w:rsidRPr="00082F7B" w14:paraId="5A7C990D" w14:textId="77777777" w:rsidTr="00CC506B">
        <w:tc>
          <w:tcPr>
            <w:tcW w:w="648" w:type="dxa"/>
            <w:tcBorders>
              <w:left w:val="single" w:sz="18" w:space="0" w:color="auto"/>
              <w:right w:val="single" w:sz="12" w:space="0" w:color="auto"/>
            </w:tcBorders>
          </w:tcPr>
          <w:p w14:paraId="42588E92"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5</w:t>
            </w:r>
          </w:p>
        </w:tc>
        <w:tc>
          <w:tcPr>
            <w:tcW w:w="7290" w:type="dxa"/>
            <w:tcBorders>
              <w:left w:val="single" w:sz="12" w:space="0" w:color="auto"/>
              <w:right w:val="single" w:sz="2" w:space="0" w:color="auto"/>
            </w:tcBorders>
          </w:tcPr>
          <w:p w14:paraId="5A6258BF"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Finansijski aspekt-prosječni bruto prihod u posljednje tri godine</w:t>
            </w:r>
          </w:p>
        </w:tc>
        <w:tc>
          <w:tcPr>
            <w:tcW w:w="1638" w:type="dxa"/>
            <w:tcBorders>
              <w:left w:val="single" w:sz="2" w:space="0" w:color="auto"/>
              <w:right w:val="single" w:sz="18" w:space="0" w:color="auto"/>
            </w:tcBorders>
          </w:tcPr>
          <w:p w14:paraId="09F36BD6"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5</w:t>
            </w:r>
          </w:p>
        </w:tc>
      </w:tr>
      <w:tr w:rsidR="00D7201F" w:rsidRPr="00082F7B" w14:paraId="2D8B8E70" w14:textId="77777777" w:rsidTr="00CC506B">
        <w:tc>
          <w:tcPr>
            <w:tcW w:w="648" w:type="dxa"/>
            <w:tcBorders>
              <w:left w:val="single" w:sz="18" w:space="0" w:color="auto"/>
              <w:right w:val="single" w:sz="12" w:space="0" w:color="auto"/>
            </w:tcBorders>
          </w:tcPr>
          <w:p w14:paraId="79087D48"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6</w:t>
            </w:r>
          </w:p>
        </w:tc>
        <w:tc>
          <w:tcPr>
            <w:tcW w:w="7290" w:type="dxa"/>
            <w:tcBorders>
              <w:left w:val="single" w:sz="12" w:space="0" w:color="auto"/>
              <w:right w:val="single" w:sz="2" w:space="0" w:color="auto"/>
            </w:tcBorders>
          </w:tcPr>
          <w:p w14:paraId="55BB3322"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Finansijski aspekt-prosječni neto profit u posljednje tri godine</w:t>
            </w:r>
          </w:p>
        </w:tc>
        <w:tc>
          <w:tcPr>
            <w:tcW w:w="1638" w:type="dxa"/>
            <w:tcBorders>
              <w:left w:val="single" w:sz="2" w:space="0" w:color="auto"/>
              <w:right w:val="single" w:sz="18" w:space="0" w:color="auto"/>
            </w:tcBorders>
          </w:tcPr>
          <w:p w14:paraId="09A5827C"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5</w:t>
            </w:r>
          </w:p>
        </w:tc>
      </w:tr>
      <w:tr w:rsidR="00D7201F" w:rsidRPr="00082F7B" w14:paraId="32638BC5" w14:textId="77777777" w:rsidTr="00CC506B">
        <w:tc>
          <w:tcPr>
            <w:tcW w:w="648" w:type="dxa"/>
            <w:tcBorders>
              <w:left w:val="single" w:sz="18" w:space="0" w:color="auto"/>
              <w:bottom w:val="single" w:sz="18" w:space="0" w:color="auto"/>
              <w:right w:val="single" w:sz="12" w:space="0" w:color="auto"/>
            </w:tcBorders>
          </w:tcPr>
          <w:p w14:paraId="5DE42BCA" w14:textId="77777777" w:rsidR="00D7201F" w:rsidRPr="00082F7B" w:rsidRDefault="00D7201F" w:rsidP="00CC506B">
            <w:pPr>
              <w:suppressAutoHyphens w:val="0"/>
              <w:spacing w:after="0" w:line="240" w:lineRule="auto"/>
              <w:jc w:val="both"/>
              <w:rPr>
                <w:rFonts w:asciiTheme="majorHAnsi" w:eastAsia="Calibri" w:hAnsiTheme="majorHAnsi" w:cstheme="minorHAnsi"/>
                <w:b/>
                <w:kern w:val="0"/>
                <w:sz w:val="24"/>
                <w:szCs w:val="24"/>
              </w:rPr>
            </w:pPr>
            <w:r w:rsidRPr="00082F7B">
              <w:rPr>
                <w:rFonts w:asciiTheme="majorHAnsi" w:eastAsia="Calibri" w:hAnsiTheme="majorHAnsi" w:cstheme="minorHAnsi"/>
                <w:b/>
                <w:kern w:val="0"/>
                <w:sz w:val="24"/>
                <w:szCs w:val="24"/>
              </w:rPr>
              <w:t xml:space="preserve">  7</w:t>
            </w:r>
          </w:p>
        </w:tc>
        <w:tc>
          <w:tcPr>
            <w:tcW w:w="7290" w:type="dxa"/>
            <w:tcBorders>
              <w:left w:val="single" w:sz="12" w:space="0" w:color="auto"/>
              <w:bottom w:val="single" w:sz="18" w:space="0" w:color="auto"/>
              <w:right w:val="single" w:sz="2" w:space="0" w:color="auto"/>
            </w:tcBorders>
          </w:tcPr>
          <w:p w14:paraId="1570BAB4" w14:textId="77777777" w:rsidR="00D7201F" w:rsidRPr="00082F7B" w:rsidRDefault="00D7201F" w:rsidP="00CC506B">
            <w:pPr>
              <w:suppressAutoHyphens w:val="0"/>
              <w:spacing w:after="0" w:line="240" w:lineRule="auto"/>
              <w:jc w:val="both"/>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Kvalitet poslovnog plana i efekti na zapošljavanje i ekononomski razvoj</w:t>
            </w:r>
          </w:p>
        </w:tc>
        <w:tc>
          <w:tcPr>
            <w:tcW w:w="1638" w:type="dxa"/>
            <w:tcBorders>
              <w:left w:val="single" w:sz="2" w:space="0" w:color="auto"/>
              <w:bottom w:val="single" w:sz="18" w:space="0" w:color="auto"/>
              <w:right w:val="single" w:sz="18" w:space="0" w:color="auto"/>
            </w:tcBorders>
          </w:tcPr>
          <w:p w14:paraId="20B74876" w14:textId="77777777" w:rsidR="00D7201F" w:rsidRPr="00082F7B" w:rsidRDefault="00D7201F" w:rsidP="00CC506B">
            <w:pPr>
              <w:suppressAutoHyphens w:val="0"/>
              <w:spacing w:after="0" w:line="240" w:lineRule="auto"/>
              <w:jc w:val="center"/>
              <w:rPr>
                <w:rFonts w:asciiTheme="majorHAnsi" w:eastAsia="Calibri" w:hAnsiTheme="majorHAnsi" w:cstheme="minorHAnsi"/>
                <w:kern w:val="0"/>
                <w:sz w:val="24"/>
                <w:szCs w:val="24"/>
              </w:rPr>
            </w:pPr>
            <w:r w:rsidRPr="00082F7B">
              <w:rPr>
                <w:rFonts w:asciiTheme="majorHAnsi" w:eastAsia="Calibri" w:hAnsiTheme="majorHAnsi" w:cstheme="minorHAnsi"/>
                <w:kern w:val="0"/>
                <w:sz w:val="24"/>
                <w:szCs w:val="24"/>
              </w:rPr>
              <w:t>5</w:t>
            </w:r>
          </w:p>
        </w:tc>
      </w:tr>
    </w:tbl>
    <w:p w14:paraId="2FF5C12F" w14:textId="77777777" w:rsidR="00D7201F" w:rsidRPr="00082F7B" w:rsidRDefault="00D7201F" w:rsidP="00D7201F">
      <w:pPr>
        <w:rPr>
          <w:rFonts w:asciiTheme="majorHAnsi" w:hAnsiTheme="majorHAnsi"/>
          <w:sz w:val="24"/>
          <w:szCs w:val="24"/>
        </w:rPr>
      </w:pPr>
      <w:bookmarkStart w:id="114" w:name="_Toc390549916"/>
      <w:bookmarkStart w:id="115" w:name="_Toc402262962"/>
    </w:p>
    <w:p w14:paraId="0200FFE5"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16" w:name="_Toc459633553"/>
      <w:r w:rsidRPr="00082F7B">
        <w:rPr>
          <w:rFonts w:asciiTheme="majorHAnsi" w:hAnsiTheme="majorHAnsi"/>
          <w:szCs w:val="24"/>
        </w:rPr>
        <w:t>Ponuđeni procentualni iznos za obračun koncesione naknade</w:t>
      </w:r>
      <w:bookmarkEnd w:id="114"/>
      <w:bookmarkEnd w:id="115"/>
      <w:bookmarkEnd w:id="116"/>
    </w:p>
    <w:p w14:paraId="7B65A32B" w14:textId="77777777" w:rsidR="00D7201F" w:rsidRPr="00082F7B" w:rsidRDefault="00D7201F" w:rsidP="00D7201F">
      <w:pPr>
        <w:spacing w:after="0" w:line="240" w:lineRule="auto"/>
        <w:rPr>
          <w:rFonts w:asciiTheme="majorHAnsi" w:hAnsiTheme="majorHAnsi"/>
          <w:sz w:val="24"/>
          <w:szCs w:val="24"/>
        </w:rPr>
      </w:pPr>
    </w:p>
    <w:p w14:paraId="0531A48F" w14:textId="57DCADFB"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Tačkom 9.1.2. Koncesionog akta – Pripadnost grupi ležišta, je definisano da se ležište tehničko-građevinskog  kamena „Štitarica-Taskavac“, na osnovu postojećih karakteristika i očekivanih uslova za eksploataciju, svrstava u treću  grupu geogenih ležišta (G</w:t>
      </w:r>
      <w:r w:rsidRPr="00082F7B">
        <w:rPr>
          <w:rFonts w:asciiTheme="majorHAnsi" w:hAnsiTheme="majorHAnsi" w:cstheme="minorHAnsi"/>
          <w:sz w:val="24"/>
          <w:szCs w:val="24"/>
          <w:vertAlign w:val="subscript"/>
        </w:rPr>
        <w:t>3</w:t>
      </w:r>
      <w:r w:rsidRPr="00082F7B">
        <w:rPr>
          <w:rFonts w:asciiTheme="majorHAnsi" w:hAnsiTheme="majorHAnsi" w:cstheme="minorHAnsi"/>
          <w:sz w:val="24"/>
          <w:szCs w:val="24"/>
        </w:rPr>
        <w:t>).</w:t>
      </w:r>
    </w:p>
    <w:p w14:paraId="5C82B6C6" w14:textId="77777777" w:rsidR="00D7201F" w:rsidRPr="00082F7B" w:rsidRDefault="00D7201F" w:rsidP="00D7201F">
      <w:pPr>
        <w:spacing w:after="0" w:line="240" w:lineRule="auto"/>
        <w:jc w:val="both"/>
        <w:rPr>
          <w:rFonts w:asciiTheme="majorHAnsi" w:hAnsiTheme="majorHAnsi" w:cstheme="minorHAnsi"/>
          <w:sz w:val="24"/>
          <w:szCs w:val="24"/>
        </w:rPr>
      </w:pPr>
    </w:p>
    <w:p w14:paraId="1DAAA5F2"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 xml:space="preserve">Po tom osnovu, shodno Uredbi o kriterijumima i načinu obračuna iznosa minimalne koncesione naknade za ustupanje prava na istraživanje i eksploataciju mineralnih sirovina („Sl. list CG“, br. 37/11), procentni iznos za obračun minimalne - početne koncesione naknade (čl. 15 Uredbe) iznosi </w:t>
      </w:r>
      <w:r w:rsidRPr="00082F7B">
        <w:rPr>
          <w:rFonts w:asciiTheme="majorHAnsi" w:hAnsiTheme="majorHAnsi" w:cstheme="minorHAnsi"/>
          <w:b/>
          <w:sz w:val="24"/>
          <w:szCs w:val="24"/>
        </w:rPr>
        <w:t>7 %</w:t>
      </w:r>
      <w:r w:rsidRPr="00082F7B">
        <w:rPr>
          <w:rFonts w:asciiTheme="majorHAnsi" w:hAnsiTheme="majorHAnsi" w:cstheme="minorHAnsi"/>
          <w:sz w:val="24"/>
          <w:szCs w:val="24"/>
        </w:rPr>
        <w:t xml:space="preserve"> od tržišne vrijednosti bilansnih ili eksploatacionih rezervi arhitektonsko-građevinskog (ukrasnog) kamena, odnosno, ukupnog tržišnog proizvoda, za koncesioni period za eksploataciju od 20 godina.</w:t>
      </w:r>
    </w:p>
    <w:p w14:paraId="36ACEA7D" w14:textId="77777777" w:rsidR="00D7201F" w:rsidRPr="00082F7B" w:rsidRDefault="00D7201F" w:rsidP="00D7201F">
      <w:pPr>
        <w:spacing w:after="0" w:line="240" w:lineRule="auto"/>
        <w:jc w:val="both"/>
        <w:rPr>
          <w:rFonts w:asciiTheme="majorHAnsi" w:hAnsiTheme="majorHAnsi" w:cstheme="minorHAnsi"/>
          <w:sz w:val="24"/>
          <w:szCs w:val="24"/>
        </w:rPr>
      </w:pPr>
    </w:p>
    <w:p w14:paraId="22AC9262"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Ponuđači mogu ponuditi procentni iznos tržišne vrijednosti bilansnih ili eksploatacionih rezervi arhitektonsko-građevinskog (ukrasnog) kamena koje je veći od 7 %.</w:t>
      </w:r>
    </w:p>
    <w:p w14:paraId="51786C54" w14:textId="77777777" w:rsidR="00D7201F" w:rsidRPr="00082F7B" w:rsidRDefault="00D7201F" w:rsidP="00D7201F">
      <w:pPr>
        <w:spacing w:after="0" w:line="240" w:lineRule="auto"/>
        <w:jc w:val="both"/>
        <w:rPr>
          <w:rFonts w:asciiTheme="majorHAnsi" w:hAnsiTheme="majorHAnsi" w:cstheme="minorHAnsi"/>
          <w:sz w:val="24"/>
          <w:szCs w:val="24"/>
        </w:rPr>
      </w:pPr>
    </w:p>
    <w:p w14:paraId="13E0AB3C"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Ovaj kriterijum se izračunava na sljedeći način:</w:t>
      </w:r>
    </w:p>
    <w:p w14:paraId="2D15D2AC" w14:textId="77777777" w:rsidR="00D7201F" w:rsidRPr="00082F7B" w:rsidRDefault="00D7201F" w:rsidP="00D7201F">
      <w:pPr>
        <w:spacing w:after="0" w:line="240" w:lineRule="auto"/>
        <w:jc w:val="both"/>
        <w:rPr>
          <w:rFonts w:asciiTheme="majorHAnsi" w:hAnsiTheme="majorHAnsi" w:cstheme="minorHAnsi"/>
          <w:b/>
          <w:sz w:val="24"/>
          <w:szCs w:val="24"/>
        </w:rPr>
      </w:pPr>
    </w:p>
    <w:p w14:paraId="393FDAF7" w14:textId="77777777" w:rsidR="00D7201F" w:rsidRPr="00082F7B" w:rsidRDefault="00D7201F" w:rsidP="00D7201F">
      <w:pPr>
        <w:spacing w:after="0" w:line="240" w:lineRule="auto"/>
        <w:jc w:val="both"/>
        <w:rPr>
          <w:rFonts w:asciiTheme="majorHAnsi" w:hAnsiTheme="majorHAnsi" w:cstheme="minorHAnsi"/>
          <w:b/>
          <w:sz w:val="24"/>
          <w:szCs w:val="24"/>
        </w:rPr>
      </w:pPr>
      <w:r w:rsidRPr="00082F7B">
        <w:rPr>
          <w:rFonts w:asciiTheme="majorHAnsi" w:hAnsiTheme="majorHAnsi" w:cstheme="minorHAnsi"/>
          <w:b/>
          <w:sz w:val="24"/>
          <w:szCs w:val="24"/>
        </w:rPr>
        <w:t>Kriterijum:  P % / MP % x 40,</w:t>
      </w:r>
    </w:p>
    <w:p w14:paraId="61BFFE56" w14:textId="77777777" w:rsidR="00D7201F" w:rsidRPr="00082F7B" w:rsidRDefault="00D7201F" w:rsidP="00D7201F">
      <w:pPr>
        <w:spacing w:after="0" w:line="240" w:lineRule="auto"/>
        <w:jc w:val="both"/>
        <w:rPr>
          <w:rFonts w:asciiTheme="majorHAnsi" w:hAnsiTheme="majorHAnsi" w:cstheme="minorHAnsi"/>
          <w:sz w:val="24"/>
          <w:szCs w:val="24"/>
        </w:rPr>
      </w:pPr>
    </w:p>
    <w:p w14:paraId="1D8D0375"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gdje:</w:t>
      </w:r>
    </w:p>
    <w:p w14:paraId="45CA6DA7"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b/>
          <w:sz w:val="24"/>
          <w:szCs w:val="24"/>
        </w:rPr>
        <w:t>P %</w:t>
      </w:r>
      <w:r w:rsidRPr="00082F7B">
        <w:rPr>
          <w:rFonts w:asciiTheme="majorHAnsi" w:hAnsiTheme="majorHAnsi" w:cstheme="minorHAnsi"/>
          <w:sz w:val="24"/>
          <w:szCs w:val="24"/>
        </w:rPr>
        <w:t xml:space="preserve"> - označava % ponuđača</w:t>
      </w:r>
    </w:p>
    <w:p w14:paraId="01DD8AD2"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b/>
          <w:sz w:val="24"/>
          <w:szCs w:val="24"/>
        </w:rPr>
        <w:t>MP %</w:t>
      </w:r>
      <w:r w:rsidRPr="00082F7B">
        <w:rPr>
          <w:rFonts w:asciiTheme="majorHAnsi" w:hAnsiTheme="majorHAnsi" w:cstheme="minorHAnsi"/>
          <w:sz w:val="24"/>
          <w:szCs w:val="24"/>
        </w:rPr>
        <w:t xml:space="preserve"> - označava maskimalno ponuđeni % na tenderu</w:t>
      </w:r>
    </w:p>
    <w:p w14:paraId="2B234407"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b/>
          <w:sz w:val="24"/>
          <w:szCs w:val="24"/>
        </w:rPr>
        <w:t xml:space="preserve">40 </w:t>
      </w:r>
      <w:r w:rsidRPr="00082F7B">
        <w:rPr>
          <w:rFonts w:asciiTheme="majorHAnsi" w:hAnsiTheme="majorHAnsi" w:cstheme="minorHAnsi"/>
          <w:sz w:val="24"/>
          <w:szCs w:val="24"/>
        </w:rPr>
        <w:t>– broj bodova za ovaj kriterijum</w:t>
      </w:r>
    </w:p>
    <w:p w14:paraId="02F57AB2" w14:textId="77777777" w:rsidR="00D7201F" w:rsidRPr="00082F7B" w:rsidRDefault="00D7201F" w:rsidP="00D7201F">
      <w:pPr>
        <w:spacing w:after="0" w:line="240" w:lineRule="auto"/>
        <w:jc w:val="both"/>
        <w:rPr>
          <w:rFonts w:asciiTheme="majorHAnsi" w:hAnsiTheme="majorHAnsi" w:cstheme="minorHAnsi"/>
          <w:color w:val="FF0000"/>
          <w:sz w:val="24"/>
          <w:szCs w:val="24"/>
        </w:rPr>
      </w:pPr>
      <w:r w:rsidRPr="00082F7B">
        <w:rPr>
          <w:rFonts w:asciiTheme="majorHAnsi" w:hAnsiTheme="majorHAnsi" w:cstheme="minorHAnsi"/>
          <w:color w:val="FF0000"/>
          <w:sz w:val="24"/>
          <w:szCs w:val="24"/>
        </w:rPr>
        <w:t xml:space="preserve">                    </w:t>
      </w:r>
    </w:p>
    <w:p w14:paraId="1E70A0FC"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17" w:name="_Toc390549917"/>
      <w:bookmarkStart w:id="118" w:name="_Toc402262963"/>
      <w:bookmarkStart w:id="119" w:name="_Toc459633554"/>
      <w:r w:rsidRPr="00082F7B">
        <w:rPr>
          <w:rFonts w:asciiTheme="majorHAnsi" w:hAnsiTheme="majorHAnsi"/>
          <w:szCs w:val="24"/>
        </w:rPr>
        <w:t>Ponuđeni obim rudarske proizvodnje</w:t>
      </w:r>
      <w:bookmarkEnd w:id="117"/>
      <w:bookmarkEnd w:id="118"/>
      <w:bookmarkEnd w:id="119"/>
    </w:p>
    <w:p w14:paraId="61DC9E5E" w14:textId="77777777" w:rsidR="00D7201F" w:rsidRPr="00082F7B" w:rsidRDefault="00D7201F" w:rsidP="00D7201F">
      <w:pPr>
        <w:spacing w:after="0" w:line="240" w:lineRule="auto"/>
        <w:rPr>
          <w:rFonts w:asciiTheme="majorHAnsi" w:hAnsiTheme="majorHAnsi"/>
          <w:sz w:val="24"/>
          <w:szCs w:val="24"/>
        </w:rPr>
      </w:pPr>
    </w:p>
    <w:p w14:paraId="67B45D2E" w14:textId="2CC69D55"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b/>
          <w:bCs/>
          <w:sz w:val="24"/>
          <w:szCs w:val="24"/>
        </w:rPr>
        <w:t xml:space="preserve">Tačkom 9.1.1. Koncesionog akta - Rezerve mineralne sirovine, </w:t>
      </w:r>
      <w:r w:rsidRPr="00082F7B">
        <w:rPr>
          <w:rFonts w:asciiTheme="majorHAnsi" w:hAnsiTheme="majorHAnsi" w:cstheme="minorHAnsi"/>
          <w:bCs/>
          <w:sz w:val="24"/>
          <w:szCs w:val="24"/>
        </w:rPr>
        <w:t>je definisano da</w:t>
      </w:r>
      <w:r w:rsidRPr="00082F7B">
        <w:rPr>
          <w:rFonts w:asciiTheme="majorHAnsi" w:hAnsiTheme="majorHAnsi" w:cstheme="minorHAnsi"/>
          <w:b/>
          <w:bCs/>
          <w:sz w:val="24"/>
          <w:szCs w:val="24"/>
        </w:rPr>
        <w:t xml:space="preserve"> </w:t>
      </w:r>
      <w:r w:rsidRPr="00082F7B">
        <w:rPr>
          <w:rFonts w:asciiTheme="majorHAnsi" w:hAnsiTheme="majorHAnsi" w:cstheme="minorHAnsi"/>
          <w:sz w:val="24"/>
          <w:szCs w:val="24"/>
        </w:rPr>
        <w:t>eksploatacione rezerve tehničko-građevinskog  kamena na ležištu „Štitarica-</w:t>
      </w:r>
      <w:r w:rsidR="003936D7" w:rsidRPr="00082F7B">
        <w:rPr>
          <w:rFonts w:asciiTheme="majorHAnsi" w:hAnsiTheme="majorHAnsi" w:cstheme="minorHAnsi"/>
          <w:sz w:val="24"/>
          <w:szCs w:val="24"/>
        </w:rPr>
        <w:t xml:space="preserve">Taskavac </w:t>
      </w:r>
      <w:r w:rsidRPr="00082F7B">
        <w:rPr>
          <w:rFonts w:asciiTheme="majorHAnsi" w:hAnsiTheme="majorHAnsi" w:cstheme="minorHAnsi"/>
          <w:sz w:val="24"/>
          <w:szCs w:val="24"/>
        </w:rPr>
        <w:t xml:space="preserve">“  iznose </w:t>
      </w:r>
      <w:r w:rsidRPr="00082F7B">
        <w:rPr>
          <w:rFonts w:asciiTheme="majorHAnsi" w:hAnsiTheme="majorHAnsi"/>
          <w:b/>
          <w:sz w:val="24"/>
          <w:szCs w:val="24"/>
        </w:rPr>
        <w:t>1.075.110 m</w:t>
      </w:r>
      <w:r w:rsidRPr="00082F7B">
        <w:rPr>
          <w:rFonts w:asciiTheme="majorHAnsi" w:hAnsiTheme="majorHAnsi"/>
          <w:b/>
          <w:sz w:val="24"/>
          <w:szCs w:val="24"/>
          <w:vertAlign w:val="superscript"/>
        </w:rPr>
        <w:t xml:space="preserve">3 </w:t>
      </w:r>
      <w:r w:rsidRPr="00082F7B">
        <w:rPr>
          <w:rFonts w:asciiTheme="majorHAnsi" w:hAnsiTheme="majorHAnsi" w:cstheme="minorHAnsi"/>
          <w:b/>
          <w:sz w:val="24"/>
          <w:szCs w:val="24"/>
        </w:rPr>
        <w:t>č.s.m.</w:t>
      </w:r>
      <w:r w:rsidRPr="00082F7B">
        <w:rPr>
          <w:rFonts w:asciiTheme="majorHAnsi" w:hAnsiTheme="majorHAnsi" w:cstheme="minorHAnsi"/>
          <w:sz w:val="24"/>
          <w:szCs w:val="24"/>
        </w:rPr>
        <w:t xml:space="preserve"> </w:t>
      </w:r>
    </w:p>
    <w:p w14:paraId="0D67902C" w14:textId="77777777" w:rsidR="00D7201F" w:rsidRPr="00082F7B" w:rsidRDefault="00D7201F" w:rsidP="00D7201F">
      <w:pPr>
        <w:spacing w:after="0" w:line="240" w:lineRule="auto"/>
        <w:jc w:val="both"/>
        <w:rPr>
          <w:rFonts w:asciiTheme="majorHAnsi" w:hAnsiTheme="majorHAnsi" w:cstheme="minorHAnsi"/>
          <w:sz w:val="24"/>
          <w:szCs w:val="24"/>
          <w:highlight w:val="yellow"/>
        </w:rPr>
      </w:pPr>
    </w:p>
    <w:p w14:paraId="1888C48F" w14:textId="77777777" w:rsidR="003936D7" w:rsidRPr="00082F7B" w:rsidRDefault="003936D7" w:rsidP="003936D7">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Prema minimalnom godišnjem kapacitetu od 14.000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č.s.m. tehničko-građevinskog kamena, za period od 20 godina (period koncesije za eksploataciju) otkopalo bi se 280.000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č.s.m tehničko-građevinskog kamena. Od 14.000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č.s.m. na godišnjem nivou u procesu dalje obrade sirovine dobilo bi se 21.000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agregata različitih frakcija, što bi za period od 20 godina iznosilo 420.000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tržišnog proizvoda.</w:t>
      </w:r>
    </w:p>
    <w:p w14:paraId="3805A502" w14:textId="51E95AD2" w:rsidR="00D7201F" w:rsidRPr="00082F7B" w:rsidRDefault="003936D7" w:rsidP="003936D7">
      <w:pPr>
        <w:spacing w:after="0" w:line="240" w:lineRule="auto"/>
        <w:jc w:val="both"/>
        <w:rPr>
          <w:rFonts w:asciiTheme="majorHAnsi" w:hAnsiTheme="majorHAnsi" w:cstheme="minorHAnsi"/>
          <w:sz w:val="24"/>
          <w:szCs w:val="24"/>
          <w:highlight w:val="yellow"/>
        </w:rPr>
      </w:pPr>
      <w:r w:rsidRPr="00082F7B">
        <w:rPr>
          <w:rFonts w:asciiTheme="majorHAnsi" w:hAnsiTheme="majorHAnsi" w:cstheme="minorHAnsi"/>
          <w:sz w:val="24"/>
          <w:szCs w:val="24"/>
        </w:rPr>
        <w:t>Ponuđači mogu ponuditi obim godišnje rudarske proizvodnje koji je jednak ili veći od 14.000 m</w:t>
      </w:r>
      <w:r w:rsidRPr="00082F7B">
        <w:rPr>
          <w:rFonts w:asciiTheme="majorHAnsi" w:hAnsiTheme="majorHAnsi" w:cstheme="minorHAnsi"/>
          <w:sz w:val="24"/>
          <w:szCs w:val="24"/>
          <w:vertAlign w:val="superscript"/>
        </w:rPr>
        <w:t>3</w:t>
      </w:r>
      <w:r w:rsidRPr="00082F7B">
        <w:rPr>
          <w:rFonts w:asciiTheme="majorHAnsi" w:hAnsiTheme="majorHAnsi" w:cstheme="minorHAnsi"/>
          <w:sz w:val="24"/>
          <w:szCs w:val="24"/>
        </w:rPr>
        <w:t xml:space="preserve"> č.s.m.</w:t>
      </w:r>
    </w:p>
    <w:p w14:paraId="4B9810AC" w14:textId="77777777" w:rsidR="00D7201F" w:rsidRPr="00082F7B" w:rsidRDefault="00D7201F" w:rsidP="00D7201F">
      <w:pPr>
        <w:spacing w:after="0" w:line="240" w:lineRule="auto"/>
        <w:jc w:val="both"/>
        <w:rPr>
          <w:rFonts w:asciiTheme="majorHAnsi" w:hAnsiTheme="majorHAnsi" w:cstheme="minorHAnsi"/>
          <w:sz w:val="24"/>
          <w:szCs w:val="24"/>
          <w:highlight w:val="yellow"/>
        </w:rPr>
      </w:pPr>
    </w:p>
    <w:p w14:paraId="23C4733F" w14:textId="77777777" w:rsidR="00D7201F" w:rsidRPr="00082F7B" w:rsidRDefault="00D7201F" w:rsidP="00D7201F">
      <w:pPr>
        <w:spacing w:after="0" w:line="240" w:lineRule="auto"/>
        <w:rPr>
          <w:rFonts w:asciiTheme="majorHAnsi" w:hAnsiTheme="majorHAnsi" w:cstheme="minorHAnsi"/>
          <w:bCs/>
          <w:sz w:val="24"/>
          <w:szCs w:val="24"/>
        </w:rPr>
      </w:pPr>
      <w:bookmarkStart w:id="120" w:name="_Toc390549918"/>
      <w:r w:rsidRPr="00082F7B">
        <w:rPr>
          <w:rFonts w:asciiTheme="majorHAnsi" w:hAnsiTheme="majorHAnsi" w:cstheme="minorHAnsi"/>
          <w:bCs/>
          <w:sz w:val="24"/>
          <w:szCs w:val="24"/>
        </w:rPr>
        <w:t>Ovaj kriterijum se izračunava na sljedeći način:</w:t>
      </w:r>
    </w:p>
    <w:p w14:paraId="42860CC8" w14:textId="77777777" w:rsidR="00D7201F" w:rsidRPr="00082F7B" w:rsidRDefault="00D7201F" w:rsidP="00D7201F">
      <w:pPr>
        <w:spacing w:after="0" w:line="240" w:lineRule="auto"/>
        <w:rPr>
          <w:rFonts w:asciiTheme="majorHAnsi" w:hAnsiTheme="majorHAnsi" w:cstheme="minorHAnsi"/>
          <w:bCs/>
          <w:sz w:val="24"/>
          <w:szCs w:val="24"/>
        </w:rPr>
      </w:pPr>
    </w:p>
    <w:p w14:paraId="2BA526C7" w14:textId="77777777" w:rsidR="00D7201F" w:rsidRPr="00082F7B" w:rsidRDefault="00D7201F" w:rsidP="00D7201F">
      <w:pPr>
        <w:spacing w:after="0" w:line="240" w:lineRule="auto"/>
        <w:rPr>
          <w:rFonts w:asciiTheme="majorHAnsi" w:hAnsiTheme="majorHAnsi" w:cstheme="minorHAnsi"/>
          <w:b/>
          <w:bCs/>
          <w:sz w:val="24"/>
          <w:szCs w:val="24"/>
        </w:rPr>
      </w:pPr>
      <w:r w:rsidRPr="00082F7B">
        <w:rPr>
          <w:rFonts w:asciiTheme="majorHAnsi" w:hAnsiTheme="majorHAnsi" w:cstheme="minorHAnsi"/>
          <w:b/>
          <w:bCs/>
          <w:sz w:val="24"/>
          <w:szCs w:val="24"/>
        </w:rPr>
        <w:t>Kriterijum:  PGP/MPGP x 20,</w:t>
      </w:r>
    </w:p>
    <w:p w14:paraId="79CD7D20" w14:textId="77777777" w:rsidR="00D7201F" w:rsidRPr="00082F7B" w:rsidRDefault="00D7201F" w:rsidP="00D7201F">
      <w:pPr>
        <w:spacing w:after="0" w:line="240" w:lineRule="auto"/>
        <w:rPr>
          <w:rFonts w:asciiTheme="majorHAnsi" w:hAnsiTheme="majorHAnsi" w:cstheme="minorHAnsi"/>
          <w:b/>
          <w:bCs/>
          <w:sz w:val="24"/>
          <w:szCs w:val="24"/>
        </w:rPr>
      </w:pPr>
    </w:p>
    <w:p w14:paraId="5B4636D9" w14:textId="77777777" w:rsidR="00D7201F" w:rsidRPr="00082F7B" w:rsidRDefault="00D7201F" w:rsidP="00D7201F">
      <w:pPr>
        <w:spacing w:after="0" w:line="240" w:lineRule="auto"/>
        <w:rPr>
          <w:rFonts w:asciiTheme="majorHAnsi" w:hAnsiTheme="majorHAnsi" w:cstheme="minorHAnsi"/>
          <w:bCs/>
          <w:sz w:val="24"/>
          <w:szCs w:val="24"/>
        </w:rPr>
      </w:pPr>
      <w:r w:rsidRPr="00082F7B">
        <w:rPr>
          <w:rFonts w:asciiTheme="majorHAnsi" w:hAnsiTheme="majorHAnsi" w:cstheme="minorHAnsi"/>
          <w:bCs/>
          <w:sz w:val="24"/>
          <w:szCs w:val="24"/>
        </w:rPr>
        <w:t>gdje:</w:t>
      </w:r>
    </w:p>
    <w:p w14:paraId="2FB31759" w14:textId="77777777" w:rsidR="00D7201F" w:rsidRPr="00082F7B" w:rsidRDefault="00D7201F" w:rsidP="00D7201F">
      <w:pPr>
        <w:spacing w:after="0" w:line="240" w:lineRule="auto"/>
        <w:rPr>
          <w:rFonts w:asciiTheme="majorHAnsi" w:hAnsiTheme="majorHAnsi" w:cstheme="minorHAnsi"/>
          <w:bCs/>
          <w:sz w:val="24"/>
          <w:szCs w:val="24"/>
        </w:rPr>
      </w:pPr>
      <w:r w:rsidRPr="00082F7B">
        <w:rPr>
          <w:rFonts w:asciiTheme="majorHAnsi" w:hAnsiTheme="majorHAnsi" w:cstheme="minorHAnsi"/>
          <w:b/>
          <w:bCs/>
          <w:sz w:val="24"/>
          <w:szCs w:val="24"/>
        </w:rPr>
        <w:t xml:space="preserve">PGP </w:t>
      </w:r>
      <w:r w:rsidRPr="00082F7B">
        <w:rPr>
          <w:rFonts w:asciiTheme="majorHAnsi" w:hAnsiTheme="majorHAnsi" w:cstheme="minorHAnsi"/>
          <w:bCs/>
          <w:sz w:val="24"/>
          <w:szCs w:val="24"/>
        </w:rPr>
        <w:t>- označava ponuđenu godišnju proizvodnju</w:t>
      </w:r>
    </w:p>
    <w:p w14:paraId="0493761F" w14:textId="77777777" w:rsidR="00D7201F" w:rsidRPr="00082F7B" w:rsidRDefault="00D7201F" w:rsidP="00D7201F">
      <w:pPr>
        <w:spacing w:after="0" w:line="240" w:lineRule="auto"/>
        <w:rPr>
          <w:rFonts w:asciiTheme="majorHAnsi" w:hAnsiTheme="majorHAnsi" w:cstheme="minorHAnsi"/>
          <w:bCs/>
          <w:sz w:val="24"/>
          <w:szCs w:val="24"/>
        </w:rPr>
      </w:pPr>
      <w:r w:rsidRPr="00082F7B">
        <w:rPr>
          <w:rFonts w:asciiTheme="majorHAnsi" w:hAnsiTheme="majorHAnsi" w:cstheme="minorHAnsi"/>
          <w:b/>
          <w:bCs/>
          <w:sz w:val="24"/>
          <w:szCs w:val="24"/>
        </w:rPr>
        <w:t>MPGP</w:t>
      </w:r>
      <w:r w:rsidRPr="00082F7B">
        <w:rPr>
          <w:rFonts w:asciiTheme="majorHAnsi" w:hAnsiTheme="majorHAnsi" w:cstheme="minorHAnsi"/>
          <w:bCs/>
          <w:sz w:val="24"/>
          <w:szCs w:val="24"/>
        </w:rPr>
        <w:t xml:space="preserve"> - označava maskimalno ponuđenu  godišnju proizvodnju ponuđenu  na tenderu</w:t>
      </w:r>
    </w:p>
    <w:p w14:paraId="28272D00" w14:textId="77777777" w:rsidR="00D7201F" w:rsidRPr="00082F7B" w:rsidRDefault="00D7201F" w:rsidP="00D7201F">
      <w:pPr>
        <w:spacing w:after="0" w:line="240" w:lineRule="auto"/>
        <w:rPr>
          <w:rFonts w:asciiTheme="majorHAnsi" w:hAnsiTheme="majorHAnsi" w:cstheme="minorHAnsi"/>
          <w:bCs/>
          <w:sz w:val="24"/>
          <w:szCs w:val="24"/>
        </w:rPr>
      </w:pPr>
      <w:r w:rsidRPr="00082F7B">
        <w:rPr>
          <w:rFonts w:asciiTheme="majorHAnsi" w:hAnsiTheme="majorHAnsi" w:cstheme="minorHAnsi"/>
          <w:b/>
          <w:bCs/>
          <w:sz w:val="24"/>
          <w:szCs w:val="24"/>
        </w:rPr>
        <w:t>20</w:t>
      </w:r>
      <w:r w:rsidRPr="00082F7B">
        <w:rPr>
          <w:rFonts w:asciiTheme="majorHAnsi" w:hAnsiTheme="majorHAnsi" w:cstheme="minorHAnsi"/>
          <w:bCs/>
          <w:sz w:val="24"/>
          <w:szCs w:val="24"/>
        </w:rPr>
        <w:t xml:space="preserve"> – broj bodova za ovaj kriterijum</w:t>
      </w:r>
    </w:p>
    <w:p w14:paraId="01F61326" w14:textId="77777777" w:rsidR="00D7201F" w:rsidRPr="00082F7B" w:rsidRDefault="00D7201F" w:rsidP="00D7201F">
      <w:pPr>
        <w:spacing w:after="0" w:line="240" w:lineRule="auto"/>
        <w:rPr>
          <w:rFonts w:asciiTheme="majorHAnsi" w:hAnsiTheme="majorHAnsi" w:cstheme="minorHAnsi"/>
          <w:sz w:val="24"/>
          <w:szCs w:val="24"/>
        </w:rPr>
      </w:pPr>
    </w:p>
    <w:p w14:paraId="58494A7B"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21" w:name="_Toc402262964"/>
      <w:bookmarkStart w:id="122" w:name="_Toc459633555"/>
      <w:r w:rsidRPr="00082F7B">
        <w:rPr>
          <w:rFonts w:asciiTheme="majorHAnsi" w:hAnsiTheme="majorHAnsi"/>
          <w:szCs w:val="24"/>
        </w:rPr>
        <w:t>Rok trajanja koncesij</w:t>
      </w:r>
      <w:bookmarkEnd w:id="120"/>
      <w:bookmarkEnd w:id="121"/>
      <w:r w:rsidRPr="00082F7B">
        <w:rPr>
          <w:rFonts w:asciiTheme="majorHAnsi" w:hAnsiTheme="majorHAnsi"/>
          <w:szCs w:val="24"/>
        </w:rPr>
        <w:t>e</w:t>
      </w:r>
      <w:bookmarkEnd w:id="122"/>
    </w:p>
    <w:p w14:paraId="0EBB3AF0" w14:textId="77777777" w:rsidR="00D7201F" w:rsidRPr="00082F7B" w:rsidRDefault="00D7201F" w:rsidP="00D7201F">
      <w:pPr>
        <w:spacing w:after="0" w:line="240" w:lineRule="auto"/>
        <w:rPr>
          <w:rFonts w:asciiTheme="majorHAnsi" w:hAnsiTheme="majorHAnsi"/>
          <w:sz w:val="24"/>
          <w:szCs w:val="24"/>
        </w:rPr>
      </w:pPr>
    </w:p>
    <w:p w14:paraId="644594E9" w14:textId="11E2A065" w:rsidR="00920540" w:rsidRPr="00082F7B" w:rsidRDefault="00920540" w:rsidP="00920540">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Tačkom 3 Koncesionog akta – Rok trajanja koncesije je definisano, s obzirom na eksploatacione rezerve, da se koncesija za eksploataciju tehničko-građevinskog kamena na ležištu “Štitarica-Taskavac” daje  na minimalni period od 21 godine, i to:</w:t>
      </w:r>
    </w:p>
    <w:p w14:paraId="5C6E8F4D" w14:textId="77777777" w:rsidR="00920540" w:rsidRPr="00082F7B" w:rsidRDefault="00920540" w:rsidP="00920540">
      <w:pPr>
        <w:shd w:val="clear" w:color="auto" w:fill="FFFFFF" w:themeFill="background1"/>
        <w:spacing w:after="0" w:line="240" w:lineRule="auto"/>
        <w:jc w:val="both"/>
        <w:rPr>
          <w:rFonts w:eastAsia="Times New Roman" w:cstheme="minorHAnsi"/>
          <w:sz w:val="24"/>
          <w:szCs w:val="24"/>
          <w:lang w:val="sr-Latn-CS"/>
        </w:rPr>
      </w:pPr>
    </w:p>
    <w:p w14:paraId="187C62F4" w14:textId="77777777" w:rsidR="00920540" w:rsidRPr="00082F7B" w:rsidRDefault="00920540" w:rsidP="00920540">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t>jedna godina za izradu geološke i rudarske  tehničke dokumentacije i pripremne radove; i</w:t>
      </w:r>
    </w:p>
    <w:p w14:paraId="76ECE648" w14:textId="77777777" w:rsidR="00920540" w:rsidRPr="00082F7B" w:rsidRDefault="00920540" w:rsidP="00920540">
      <w:pPr>
        <w:pStyle w:val="ListParagraph"/>
        <w:numPr>
          <w:ilvl w:val="0"/>
          <w:numId w:val="14"/>
        </w:numPr>
        <w:shd w:val="clear" w:color="auto" w:fill="FFFFFF" w:themeFill="background1"/>
        <w:suppressAutoHyphens w:val="0"/>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lastRenderedPageBreak/>
        <w:t>20 (dvadeset)  godina za eksploataciju mineralne sirovine</w:t>
      </w:r>
    </w:p>
    <w:p w14:paraId="794B4878" w14:textId="77777777" w:rsidR="00920540" w:rsidRPr="00082F7B" w:rsidRDefault="00920540" w:rsidP="00920540">
      <w:pPr>
        <w:spacing w:after="0" w:line="240" w:lineRule="auto"/>
        <w:jc w:val="both"/>
        <w:rPr>
          <w:rFonts w:asciiTheme="majorHAnsi" w:eastAsia="Times New Roman" w:hAnsiTheme="majorHAnsi" w:cstheme="minorHAnsi"/>
          <w:sz w:val="24"/>
          <w:szCs w:val="24"/>
        </w:rPr>
      </w:pPr>
    </w:p>
    <w:p w14:paraId="58282E96" w14:textId="77777777" w:rsidR="00920540" w:rsidRPr="00082F7B" w:rsidRDefault="00920540" w:rsidP="00920540">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U zavisnosti od potrebe investitora, isti može ponuditi rok eksploatacije koji je duži od roka utvrđenog Koncesionim aktom, pod uslovom da ukupan koncesioni period ne prelazi zakonom definisan rok trajanja koncesije od 30 godina.</w:t>
      </w:r>
    </w:p>
    <w:p w14:paraId="1890083C"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rPr>
      </w:pPr>
    </w:p>
    <w:p w14:paraId="6898B42B" w14:textId="77777777" w:rsidR="00920540" w:rsidRPr="00082F7B" w:rsidRDefault="00920540" w:rsidP="00920540">
      <w:pPr>
        <w:shd w:val="clear" w:color="auto" w:fill="FFFFFF" w:themeFill="background1"/>
        <w:spacing w:after="0" w:line="240" w:lineRule="auto"/>
        <w:jc w:val="both"/>
        <w:rPr>
          <w:rFonts w:asciiTheme="majorHAnsi" w:eastAsia="Times New Roman" w:hAnsiTheme="majorHAnsi" w:cstheme="minorHAnsi"/>
          <w:sz w:val="24"/>
          <w:szCs w:val="24"/>
        </w:rPr>
      </w:pPr>
      <w:r w:rsidRPr="00082F7B">
        <w:rPr>
          <w:rFonts w:asciiTheme="majorHAnsi" w:eastAsia="Times New Roman" w:hAnsiTheme="majorHAnsi" w:cstheme="minorHAnsi"/>
          <w:sz w:val="24"/>
          <w:szCs w:val="24"/>
        </w:rPr>
        <w:t>Rok trajanja faze izrade geološke i rudarske  tehničke dokumentacije i pripremnih radova se ne može mijenjati.</w:t>
      </w:r>
    </w:p>
    <w:p w14:paraId="3E39590F" w14:textId="465FCCEE" w:rsidR="00D7201F" w:rsidRPr="00082F7B" w:rsidRDefault="00D7201F" w:rsidP="00D7201F">
      <w:pPr>
        <w:spacing w:after="0" w:line="240" w:lineRule="auto"/>
        <w:jc w:val="both"/>
        <w:rPr>
          <w:rFonts w:asciiTheme="majorHAnsi" w:hAnsiTheme="majorHAnsi" w:cstheme="minorHAnsi"/>
          <w:sz w:val="24"/>
          <w:szCs w:val="24"/>
        </w:rPr>
      </w:pPr>
    </w:p>
    <w:p w14:paraId="391A5C28" w14:textId="77777777" w:rsidR="00D7201F" w:rsidRPr="00082F7B" w:rsidRDefault="00D7201F" w:rsidP="00D7201F">
      <w:pPr>
        <w:spacing w:after="0" w:line="240" w:lineRule="auto"/>
        <w:jc w:val="both"/>
        <w:rPr>
          <w:rFonts w:asciiTheme="majorHAnsi" w:hAnsiTheme="majorHAnsi" w:cstheme="minorHAnsi"/>
          <w:sz w:val="24"/>
          <w:szCs w:val="24"/>
        </w:rPr>
      </w:pPr>
    </w:p>
    <w:p w14:paraId="434E3DDA"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Ovaj kriterijum se izračunava na sljedeći način:</w:t>
      </w:r>
    </w:p>
    <w:p w14:paraId="2BA7AD70" w14:textId="77777777" w:rsidR="00D7201F" w:rsidRPr="00082F7B" w:rsidRDefault="00D7201F" w:rsidP="00D7201F">
      <w:pPr>
        <w:spacing w:after="0" w:line="240" w:lineRule="auto"/>
        <w:jc w:val="both"/>
        <w:rPr>
          <w:rFonts w:asciiTheme="majorHAnsi" w:hAnsiTheme="majorHAnsi" w:cstheme="minorHAnsi"/>
          <w:b/>
          <w:sz w:val="24"/>
          <w:szCs w:val="24"/>
        </w:rPr>
      </w:pPr>
    </w:p>
    <w:p w14:paraId="5AB561FA" w14:textId="77777777" w:rsidR="00D7201F" w:rsidRPr="00082F7B" w:rsidRDefault="00D7201F" w:rsidP="00D7201F">
      <w:pPr>
        <w:spacing w:after="0" w:line="240" w:lineRule="auto"/>
        <w:rPr>
          <w:rFonts w:asciiTheme="majorHAnsi" w:hAnsiTheme="majorHAnsi" w:cstheme="minorHAnsi"/>
          <w:b/>
          <w:sz w:val="24"/>
          <w:szCs w:val="24"/>
        </w:rPr>
      </w:pPr>
      <w:r w:rsidRPr="00082F7B">
        <w:rPr>
          <w:rFonts w:asciiTheme="majorHAnsi" w:hAnsiTheme="majorHAnsi" w:cstheme="minorHAnsi"/>
          <w:b/>
          <w:sz w:val="24"/>
          <w:szCs w:val="24"/>
        </w:rPr>
        <w:t>Kriterijum:  PR / MPR x 5,</w:t>
      </w:r>
    </w:p>
    <w:p w14:paraId="7B7C87D0" w14:textId="77777777" w:rsidR="00D7201F" w:rsidRPr="00082F7B" w:rsidRDefault="00D7201F" w:rsidP="00D7201F">
      <w:pPr>
        <w:spacing w:after="0" w:line="240" w:lineRule="auto"/>
        <w:rPr>
          <w:rFonts w:asciiTheme="majorHAnsi" w:hAnsiTheme="majorHAnsi" w:cstheme="minorHAnsi"/>
          <w:b/>
          <w:sz w:val="24"/>
          <w:szCs w:val="24"/>
        </w:rPr>
      </w:pPr>
    </w:p>
    <w:p w14:paraId="73732827"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sz w:val="24"/>
          <w:szCs w:val="24"/>
        </w:rPr>
        <w:t>gdje:</w:t>
      </w:r>
    </w:p>
    <w:p w14:paraId="23D84818"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PR-</w:t>
      </w:r>
      <w:r w:rsidRPr="00082F7B">
        <w:rPr>
          <w:rFonts w:asciiTheme="majorHAnsi" w:hAnsiTheme="majorHAnsi" w:cstheme="minorHAnsi"/>
          <w:sz w:val="24"/>
          <w:szCs w:val="24"/>
        </w:rPr>
        <w:t xml:space="preserve"> označava ponuđeni rok</w:t>
      </w:r>
    </w:p>
    <w:p w14:paraId="3B529829"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MPR</w:t>
      </w:r>
      <w:r w:rsidRPr="00082F7B">
        <w:rPr>
          <w:rFonts w:asciiTheme="majorHAnsi" w:hAnsiTheme="majorHAnsi" w:cstheme="minorHAnsi"/>
          <w:sz w:val="24"/>
          <w:szCs w:val="24"/>
        </w:rPr>
        <w:t xml:space="preserve"> – označava maskimalno ponuđeni rok trajanja koncesije na tenderu</w:t>
      </w:r>
    </w:p>
    <w:p w14:paraId="6AA435C2"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5-</w:t>
      </w:r>
      <w:r w:rsidRPr="00082F7B">
        <w:rPr>
          <w:rFonts w:asciiTheme="majorHAnsi" w:hAnsiTheme="majorHAnsi" w:cstheme="minorHAnsi"/>
          <w:sz w:val="24"/>
          <w:szCs w:val="24"/>
        </w:rPr>
        <w:t xml:space="preserve"> označava broj bodova za ovaj kriterijum</w:t>
      </w:r>
    </w:p>
    <w:p w14:paraId="38AF3DA7" w14:textId="77777777" w:rsidR="00D7201F" w:rsidRPr="00082F7B" w:rsidRDefault="00D7201F" w:rsidP="00D7201F">
      <w:pPr>
        <w:spacing w:after="0" w:line="240" w:lineRule="auto"/>
        <w:rPr>
          <w:rFonts w:asciiTheme="majorHAnsi" w:hAnsiTheme="majorHAnsi" w:cstheme="minorHAnsi"/>
          <w:color w:val="00000A"/>
          <w:sz w:val="24"/>
          <w:szCs w:val="24"/>
        </w:rPr>
      </w:pPr>
    </w:p>
    <w:p w14:paraId="35DCF1E8"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23" w:name="_Toc401751594"/>
      <w:bookmarkStart w:id="124" w:name="_Toc401849820"/>
      <w:bookmarkStart w:id="125" w:name="_Toc402262965"/>
      <w:bookmarkStart w:id="126" w:name="_Toc459633556"/>
      <w:r w:rsidRPr="00082F7B">
        <w:rPr>
          <w:rFonts w:asciiTheme="majorHAnsi" w:hAnsiTheme="majorHAnsi"/>
          <w:szCs w:val="24"/>
        </w:rPr>
        <w:t>Reference ponuđača</w:t>
      </w:r>
      <w:bookmarkEnd w:id="126"/>
      <w:r w:rsidRPr="00082F7B">
        <w:rPr>
          <w:rFonts w:asciiTheme="majorHAnsi" w:hAnsiTheme="majorHAnsi"/>
          <w:szCs w:val="24"/>
        </w:rPr>
        <w:t xml:space="preserve"> </w:t>
      </w:r>
      <w:bookmarkEnd w:id="123"/>
      <w:bookmarkEnd w:id="124"/>
      <w:bookmarkEnd w:id="125"/>
    </w:p>
    <w:p w14:paraId="78391AA2" w14:textId="77777777" w:rsidR="00D7201F" w:rsidRPr="00082F7B" w:rsidRDefault="00D7201F" w:rsidP="00D7201F">
      <w:pPr>
        <w:spacing w:after="0" w:line="240" w:lineRule="auto"/>
        <w:rPr>
          <w:rFonts w:asciiTheme="majorHAnsi" w:hAnsiTheme="majorHAnsi"/>
          <w:sz w:val="24"/>
          <w:szCs w:val="24"/>
        </w:rPr>
      </w:pPr>
    </w:p>
    <w:p w14:paraId="41BFB263"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Ponuđač je dužan da dokaže postojanje iskustva u eksploataciji čvrstih mineralnih sirovina, poštovanje izvršavanja koncesionih ugovornih obaveza, stepen realizacije koncesije, plasmana proizvoda na tržište, kao i da u skladu sa parametrima iz Koncesionog akta dokaže svoju tehničku i tehnološku opremljenost za vršenje koncesione djelatnosti eksploatacije mineralnih sirovina.</w:t>
      </w:r>
    </w:p>
    <w:p w14:paraId="722B4B6A"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Najveći broj bodova po ovom kriterijumu će se dati ponuđači koji najbolje dokumentuje i dokaže prethodno opisane uslove.</w:t>
      </w:r>
    </w:p>
    <w:p w14:paraId="01F91E58" w14:textId="77777777" w:rsidR="00D7201F" w:rsidRPr="00082F7B" w:rsidRDefault="00D7201F" w:rsidP="00D7201F">
      <w:pPr>
        <w:spacing w:after="0" w:line="240" w:lineRule="auto"/>
        <w:rPr>
          <w:rFonts w:asciiTheme="majorHAnsi" w:hAnsiTheme="majorHAnsi"/>
          <w:sz w:val="24"/>
          <w:szCs w:val="24"/>
          <w:lang w:val="sr-Latn-CS"/>
        </w:rPr>
      </w:pPr>
    </w:p>
    <w:p w14:paraId="4D0DBAC2"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27" w:name="_Toc401751595"/>
      <w:bookmarkStart w:id="128" w:name="_Toc401849821"/>
      <w:bookmarkStart w:id="129" w:name="_Toc402262966"/>
      <w:bookmarkStart w:id="130" w:name="_Toc459633557"/>
      <w:r w:rsidRPr="00082F7B">
        <w:rPr>
          <w:rFonts w:asciiTheme="majorHAnsi" w:hAnsiTheme="majorHAnsi"/>
          <w:szCs w:val="24"/>
        </w:rPr>
        <w:t>Finansijski aspekt-Prosječni bruto prihod ponuđača u posljednje tri godine</w:t>
      </w:r>
      <w:bookmarkEnd w:id="127"/>
      <w:bookmarkEnd w:id="128"/>
      <w:bookmarkEnd w:id="129"/>
      <w:bookmarkEnd w:id="130"/>
    </w:p>
    <w:p w14:paraId="22C28570" w14:textId="77777777" w:rsidR="00D7201F" w:rsidRPr="00082F7B" w:rsidRDefault="00D7201F" w:rsidP="00D7201F">
      <w:pPr>
        <w:spacing w:after="0" w:line="240" w:lineRule="auto"/>
        <w:rPr>
          <w:rFonts w:asciiTheme="majorHAnsi" w:hAnsiTheme="majorHAnsi" w:cstheme="minorHAnsi"/>
          <w:b/>
          <w:sz w:val="24"/>
          <w:szCs w:val="24"/>
        </w:rPr>
      </w:pPr>
    </w:p>
    <w:p w14:paraId="1B85E5D1"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Ovaj kriterijum se izračunava na sljedeći način:</w:t>
      </w:r>
    </w:p>
    <w:p w14:paraId="7ACE4B61" w14:textId="77777777" w:rsidR="00D7201F" w:rsidRPr="00082F7B" w:rsidRDefault="00D7201F" w:rsidP="00D7201F">
      <w:pPr>
        <w:spacing w:after="0" w:line="240" w:lineRule="auto"/>
        <w:jc w:val="both"/>
        <w:rPr>
          <w:rFonts w:asciiTheme="majorHAnsi" w:hAnsiTheme="majorHAnsi" w:cstheme="minorHAnsi"/>
          <w:sz w:val="24"/>
          <w:szCs w:val="24"/>
        </w:rPr>
      </w:pPr>
    </w:p>
    <w:p w14:paraId="572EBAE1" w14:textId="77777777" w:rsidR="00D7201F" w:rsidRPr="00082F7B" w:rsidRDefault="00D7201F" w:rsidP="00D7201F">
      <w:pPr>
        <w:spacing w:after="0" w:line="240" w:lineRule="auto"/>
        <w:rPr>
          <w:rFonts w:asciiTheme="majorHAnsi" w:hAnsiTheme="majorHAnsi" w:cstheme="minorHAnsi"/>
          <w:b/>
          <w:sz w:val="24"/>
          <w:szCs w:val="24"/>
        </w:rPr>
      </w:pPr>
      <w:r w:rsidRPr="00082F7B">
        <w:rPr>
          <w:rFonts w:asciiTheme="majorHAnsi" w:hAnsiTheme="majorHAnsi" w:cstheme="minorHAnsi"/>
          <w:b/>
          <w:sz w:val="24"/>
          <w:szCs w:val="24"/>
        </w:rPr>
        <w:t>Kriterijum:  PBP / MBP x 5,</w:t>
      </w:r>
    </w:p>
    <w:p w14:paraId="36C42048" w14:textId="77777777" w:rsidR="00D7201F" w:rsidRPr="00082F7B" w:rsidRDefault="00D7201F" w:rsidP="00D7201F">
      <w:pPr>
        <w:spacing w:after="0" w:line="240" w:lineRule="auto"/>
        <w:rPr>
          <w:rFonts w:asciiTheme="majorHAnsi" w:hAnsiTheme="majorHAnsi" w:cstheme="minorHAnsi"/>
          <w:b/>
          <w:sz w:val="24"/>
          <w:szCs w:val="24"/>
        </w:rPr>
      </w:pPr>
    </w:p>
    <w:p w14:paraId="1D173C21"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sz w:val="24"/>
          <w:szCs w:val="24"/>
        </w:rPr>
        <w:t>gdje:</w:t>
      </w:r>
    </w:p>
    <w:p w14:paraId="1F6A8CE4"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 xml:space="preserve">PBP – </w:t>
      </w:r>
      <w:r w:rsidRPr="00082F7B">
        <w:rPr>
          <w:rFonts w:asciiTheme="majorHAnsi" w:hAnsiTheme="majorHAnsi" w:cstheme="minorHAnsi"/>
          <w:sz w:val="24"/>
          <w:szCs w:val="24"/>
        </w:rPr>
        <w:t>označava prosječni bruto prihod ponuđača za posljednje tri godine</w:t>
      </w:r>
    </w:p>
    <w:p w14:paraId="55ABC491"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MBP –</w:t>
      </w:r>
      <w:r w:rsidRPr="00082F7B">
        <w:rPr>
          <w:rFonts w:asciiTheme="majorHAnsi" w:hAnsiTheme="majorHAnsi" w:cstheme="minorHAnsi"/>
          <w:sz w:val="24"/>
          <w:szCs w:val="24"/>
        </w:rPr>
        <w:t xml:space="preserve"> označava maksimalni prosječni bruto prihod za posljednje tri godine ponuđen na tenderu</w:t>
      </w:r>
    </w:p>
    <w:p w14:paraId="39A0E24A"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lastRenderedPageBreak/>
        <w:t>5 –</w:t>
      </w:r>
      <w:r w:rsidRPr="00082F7B">
        <w:rPr>
          <w:rFonts w:asciiTheme="majorHAnsi" w:hAnsiTheme="majorHAnsi" w:cstheme="minorHAnsi"/>
          <w:sz w:val="24"/>
          <w:szCs w:val="24"/>
        </w:rPr>
        <w:t xml:space="preserve"> označava broj bodova po ovom kriterijumu</w:t>
      </w:r>
    </w:p>
    <w:p w14:paraId="6C161522"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2635BAE8"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76500C00"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77E96544"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4FDED8EA"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3334628C" w14:textId="77777777" w:rsidR="00D7201F" w:rsidRPr="00082F7B" w:rsidRDefault="00D7201F" w:rsidP="00D7201F">
      <w:pPr>
        <w:pStyle w:val="ListParagraph"/>
        <w:numPr>
          <w:ilvl w:val="0"/>
          <w:numId w:val="13"/>
        </w:numPr>
        <w:suppressAutoHyphens w:val="0"/>
        <w:spacing w:after="0" w:line="240" w:lineRule="auto"/>
        <w:rPr>
          <w:rFonts w:asciiTheme="majorHAnsi" w:hAnsiTheme="majorHAnsi" w:cstheme="minorHAnsi"/>
          <w:b/>
          <w:vanish/>
          <w:sz w:val="24"/>
          <w:szCs w:val="24"/>
        </w:rPr>
      </w:pPr>
    </w:p>
    <w:p w14:paraId="7BB57105" w14:textId="77777777" w:rsidR="00D7201F" w:rsidRPr="00082F7B" w:rsidRDefault="00D7201F" w:rsidP="00D7201F">
      <w:pPr>
        <w:pStyle w:val="ListParagraph"/>
        <w:numPr>
          <w:ilvl w:val="1"/>
          <w:numId w:val="13"/>
        </w:numPr>
        <w:suppressAutoHyphens w:val="0"/>
        <w:spacing w:after="0" w:line="240" w:lineRule="auto"/>
        <w:ind w:left="792"/>
        <w:rPr>
          <w:rFonts w:asciiTheme="majorHAnsi" w:hAnsiTheme="majorHAnsi" w:cstheme="minorHAnsi"/>
          <w:b/>
          <w:vanish/>
          <w:sz w:val="24"/>
          <w:szCs w:val="24"/>
        </w:rPr>
      </w:pPr>
    </w:p>
    <w:p w14:paraId="7ABDB6B0" w14:textId="77777777" w:rsidR="00D7201F" w:rsidRPr="00082F7B" w:rsidRDefault="00D7201F" w:rsidP="00D7201F">
      <w:pPr>
        <w:pStyle w:val="ListParagraph"/>
        <w:numPr>
          <w:ilvl w:val="1"/>
          <w:numId w:val="13"/>
        </w:numPr>
        <w:suppressAutoHyphens w:val="0"/>
        <w:spacing w:after="0" w:line="240" w:lineRule="auto"/>
        <w:ind w:left="792"/>
        <w:rPr>
          <w:rFonts w:asciiTheme="majorHAnsi" w:hAnsiTheme="majorHAnsi" w:cstheme="minorHAnsi"/>
          <w:b/>
          <w:vanish/>
          <w:sz w:val="24"/>
          <w:szCs w:val="24"/>
        </w:rPr>
      </w:pPr>
    </w:p>
    <w:p w14:paraId="5B16711A" w14:textId="77777777" w:rsidR="00D7201F" w:rsidRPr="00082F7B" w:rsidRDefault="00D7201F" w:rsidP="00D7201F">
      <w:pPr>
        <w:pStyle w:val="ListParagraph"/>
        <w:numPr>
          <w:ilvl w:val="1"/>
          <w:numId w:val="13"/>
        </w:numPr>
        <w:suppressAutoHyphens w:val="0"/>
        <w:spacing w:after="0" w:line="240" w:lineRule="auto"/>
        <w:ind w:left="792"/>
        <w:rPr>
          <w:rFonts w:asciiTheme="majorHAnsi" w:hAnsiTheme="majorHAnsi" w:cstheme="minorHAnsi"/>
          <w:b/>
          <w:vanish/>
          <w:sz w:val="24"/>
          <w:szCs w:val="24"/>
        </w:rPr>
      </w:pPr>
    </w:p>
    <w:p w14:paraId="06FDD355" w14:textId="77777777" w:rsidR="00D7201F" w:rsidRPr="00082F7B" w:rsidRDefault="00D7201F" w:rsidP="00D7201F">
      <w:pPr>
        <w:pStyle w:val="ListParagraph"/>
        <w:numPr>
          <w:ilvl w:val="1"/>
          <w:numId w:val="13"/>
        </w:numPr>
        <w:suppressAutoHyphens w:val="0"/>
        <w:spacing w:after="0" w:line="240" w:lineRule="auto"/>
        <w:ind w:left="792"/>
        <w:rPr>
          <w:rFonts w:asciiTheme="majorHAnsi" w:hAnsiTheme="majorHAnsi" w:cstheme="minorHAnsi"/>
          <w:b/>
          <w:vanish/>
          <w:sz w:val="24"/>
          <w:szCs w:val="24"/>
        </w:rPr>
      </w:pPr>
    </w:p>
    <w:p w14:paraId="52A11209" w14:textId="77777777" w:rsidR="00D7201F" w:rsidRPr="00082F7B" w:rsidRDefault="00D7201F" w:rsidP="00D7201F">
      <w:pPr>
        <w:pStyle w:val="ListParagraph"/>
        <w:numPr>
          <w:ilvl w:val="1"/>
          <w:numId w:val="13"/>
        </w:numPr>
        <w:suppressAutoHyphens w:val="0"/>
        <w:spacing w:after="0" w:line="240" w:lineRule="auto"/>
        <w:ind w:left="792"/>
        <w:rPr>
          <w:rFonts w:asciiTheme="majorHAnsi" w:hAnsiTheme="majorHAnsi" w:cstheme="minorHAnsi"/>
          <w:b/>
          <w:vanish/>
          <w:sz w:val="24"/>
          <w:szCs w:val="24"/>
        </w:rPr>
      </w:pPr>
    </w:p>
    <w:p w14:paraId="083DB8EB" w14:textId="77777777" w:rsidR="00D7201F" w:rsidRPr="00082F7B" w:rsidRDefault="00D7201F" w:rsidP="00D7201F">
      <w:pPr>
        <w:pStyle w:val="ListParagraph"/>
        <w:keepLines/>
        <w:numPr>
          <w:ilvl w:val="1"/>
          <w:numId w:val="0"/>
        </w:numPr>
        <w:suppressAutoHyphens w:val="0"/>
        <w:spacing w:after="0" w:line="240" w:lineRule="auto"/>
        <w:rPr>
          <w:rFonts w:asciiTheme="majorHAnsi" w:hAnsiTheme="majorHAnsi" w:cstheme="minorHAnsi"/>
          <w:sz w:val="24"/>
          <w:szCs w:val="24"/>
        </w:rPr>
      </w:pPr>
      <w:bookmarkStart w:id="131" w:name="_Toc401751596"/>
      <w:bookmarkStart w:id="132" w:name="_Toc401849822"/>
    </w:p>
    <w:p w14:paraId="42EBB416"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33" w:name="_Toc402262967"/>
      <w:bookmarkStart w:id="134" w:name="_Toc459633558"/>
      <w:r w:rsidRPr="00082F7B">
        <w:rPr>
          <w:rFonts w:asciiTheme="majorHAnsi" w:hAnsiTheme="majorHAnsi"/>
          <w:szCs w:val="24"/>
        </w:rPr>
        <w:t>Finansijski aspekt - Prosječni neto profit ponuđača u posljednje tri godine</w:t>
      </w:r>
      <w:bookmarkEnd w:id="131"/>
      <w:bookmarkEnd w:id="132"/>
      <w:bookmarkEnd w:id="133"/>
      <w:bookmarkEnd w:id="134"/>
      <w:r w:rsidRPr="00082F7B">
        <w:rPr>
          <w:rFonts w:asciiTheme="majorHAnsi" w:hAnsiTheme="majorHAnsi"/>
          <w:szCs w:val="24"/>
        </w:rPr>
        <w:t xml:space="preserve"> </w:t>
      </w:r>
    </w:p>
    <w:p w14:paraId="676889FB" w14:textId="77777777" w:rsidR="00D7201F" w:rsidRPr="00082F7B" w:rsidRDefault="00D7201F" w:rsidP="00D7201F">
      <w:pPr>
        <w:spacing w:after="0" w:line="240" w:lineRule="auto"/>
        <w:rPr>
          <w:rFonts w:asciiTheme="majorHAnsi" w:hAnsiTheme="majorHAnsi" w:cstheme="minorHAnsi"/>
          <w:sz w:val="24"/>
          <w:szCs w:val="24"/>
        </w:rPr>
      </w:pPr>
    </w:p>
    <w:p w14:paraId="308241CB" w14:textId="77777777" w:rsidR="00D7201F" w:rsidRPr="00082F7B" w:rsidRDefault="00D7201F" w:rsidP="00D7201F">
      <w:pPr>
        <w:spacing w:after="0" w:line="240" w:lineRule="auto"/>
        <w:jc w:val="both"/>
        <w:rPr>
          <w:rFonts w:asciiTheme="majorHAnsi" w:hAnsiTheme="majorHAnsi" w:cstheme="minorHAnsi"/>
          <w:sz w:val="24"/>
          <w:szCs w:val="24"/>
        </w:rPr>
      </w:pPr>
      <w:r w:rsidRPr="00082F7B">
        <w:rPr>
          <w:rFonts w:asciiTheme="majorHAnsi" w:hAnsiTheme="majorHAnsi" w:cstheme="minorHAnsi"/>
          <w:sz w:val="24"/>
          <w:szCs w:val="24"/>
        </w:rPr>
        <w:t>Ovaj kriterijum se izračunava na sljedeći način:</w:t>
      </w:r>
    </w:p>
    <w:p w14:paraId="1022D9E6" w14:textId="77777777" w:rsidR="00D7201F" w:rsidRPr="00082F7B" w:rsidRDefault="00D7201F" w:rsidP="00D7201F">
      <w:pPr>
        <w:spacing w:after="0" w:line="240" w:lineRule="auto"/>
        <w:jc w:val="both"/>
        <w:rPr>
          <w:rFonts w:asciiTheme="majorHAnsi" w:hAnsiTheme="majorHAnsi" w:cstheme="minorHAnsi"/>
          <w:sz w:val="24"/>
          <w:szCs w:val="24"/>
        </w:rPr>
      </w:pPr>
    </w:p>
    <w:p w14:paraId="240DF52B" w14:textId="77777777" w:rsidR="00D7201F" w:rsidRPr="00082F7B" w:rsidRDefault="00D7201F" w:rsidP="00D7201F">
      <w:pPr>
        <w:spacing w:after="0" w:line="240" w:lineRule="auto"/>
        <w:rPr>
          <w:rFonts w:asciiTheme="majorHAnsi" w:hAnsiTheme="majorHAnsi" w:cstheme="minorHAnsi"/>
          <w:b/>
          <w:sz w:val="24"/>
          <w:szCs w:val="24"/>
        </w:rPr>
      </w:pPr>
      <w:r w:rsidRPr="00082F7B">
        <w:rPr>
          <w:rFonts w:asciiTheme="majorHAnsi" w:hAnsiTheme="majorHAnsi" w:cstheme="minorHAnsi"/>
          <w:b/>
          <w:sz w:val="24"/>
          <w:szCs w:val="24"/>
        </w:rPr>
        <w:t>Kriterijum:  PNP / MNP x 5,</w:t>
      </w:r>
    </w:p>
    <w:p w14:paraId="46833755" w14:textId="77777777" w:rsidR="00D7201F" w:rsidRPr="00082F7B" w:rsidRDefault="00D7201F" w:rsidP="00D7201F">
      <w:pPr>
        <w:spacing w:after="0" w:line="240" w:lineRule="auto"/>
        <w:rPr>
          <w:rFonts w:asciiTheme="majorHAnsi" w:hAnsiTheme="majorHAnsi" w:cstheme="minorHAnsi"/>
          <w:b/>
          <w:sz w:val="24"/>
          <w:szCs w:val="24"/>
        </w:rPr>
      </w:pPr>
    </w:p>
    <w:p w14:paraId="32EE8103"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sz w:val="24"/>
          <w:szCs w:val="24"/>
        </w:rPr>
        <w:t>gdje:</w:t>
      </w:r>
    </w:p>
    <w:p w14:paraId="02D80E5C" w14:textId="49DBA582"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 xml:space="preserve">PNP – </w:t>
      </w:r>
      <w:r w:rsidR="00704AC3" w:rsidRPr="00082F7B">
        <w:rPr>
          <w:rFonts w:asciiTheme="majorHAnsi" w:hAnsiTheme="majorHAnsi" w:cstheme="minorHAnsi"/>
          <w:sz w:val="24"/>
          <w:szCs w:val="24"/>
        </w:rPr>
        <w:t>označava prosječni neto profir</w:t>
      </w:r>
      <w:r w:rsidRPr="00082F7B">
        <w:rPr>
          <w:rFonts w:asciiTheme="majorHAnsi" w:hAnsiTheme="majorHAnsi" w:cstheme="minorHAnsi"/>
          <w:sz w:val="24"/>
          <w:szCs w:val="24"/>
        </w:rPr>
        <w:t xml:space="preserve"> ponuđača za posljednje tri godine</w:t>
      </w:r>
    </w:p>
    <w:p w14:paraId="35AB90BA" w14:textId="053B9A22"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MNP –</w:t>
      </w:r>
      <w:r w:rsidRPr="00082F7B">
        <w:rPr>
          <w:rFonts w:asciiTheme="majorHAnsi" w:hAnsiTheme="majorHAnsi" w:cstheme="minorHAnsi"/>
          <w:sz w:val="24"/>
          <w:szCs w:val="24"/>
        </w:rPr>
        <w:t xml:space="preserve"> označava </w:t>
      </w:r>
      <w:r w:rsidR="00704AC3" w:rsidRPr="00082F7B">
        <w:rPr>
          <w:rFonts w:asciiTheme="majorHAnsi" w:hAnsiTheme="majorHAnsi" w:cstheme="minorHAnsi"/>
          <w:sz w:val="24"/>
          <w:szCs w:val="24"/>
        </w:rPr>
        <w:t>maksimalni prosječni neto profit</w:t>
      </w:r>
      <w:r w:rsidRPr="00082F7B">
        <w:rPr>
          <w:rFonts w:asciiTheme="majorHAnsi" w:hAnsiTheme="majorHAnsi" w:cstheme="minorHAnsi"/>
          <w:sz w:val="24"/>
          <w:szCs w:val="24"/>
        </w:rPr>
        <w:t xml:space="preserve"> za posljednje tri godine ponuđen na tenderu</w:t>
      </w:r>
    </w:p>
    <w:p w14:paraId="11DBF6FC" w14:textId="77777777" w:rsidR="00D7201F" w:rsidRPr="00082F7B" w:rsidRDefault="00D7201F" w:rsidP="00D7201F">
      <w:pPr>
        <w:spacing w:after="0" w:line="240" w:lineRule="auto"/>
        <w:rPr>
          <w:rFonts w:asciiTheme="majorHAnsi" w:hAnsiTheme="majorHAnsi" w:cstheme="minorHAnsi"/>
          <w:sz w:val="24"/>
          <w:szCs w:val="24"/>
        </w:rPr>
      </w:pPr>
      <w:r w:rsidRPr="00082F7B">
        <w:rPr>
          <w:rFonts w:asciiTheme="majorHAnsi" w:hAnsiTheme="majorHAnsi" w:cstheme="minorHAnsi"/>
          <w:b/>
          <w:sz w:val="24"/>
          <w:szCs w:val="24"/>
        </w:rPr>
        <w:t>5 –</w:t>
      </w:r>
      <w:r w:rsidRPr="00082F7B">
        <w:rPr>
          <w:rFonts w:asciiTheme="majorHAnsi" w:hAnsiTheme="majorHAnsi" w:cstheme="minorHAnsi"/>
          <w:sz w:val="24"/>
          <w:szCs w:val="24"/>
        </w:rPr>
        <w:t xml:space="preserve"> označava broj bodova po ovom kriterijum</w:t>
      </w:r>
    </w:p>
    <w:p w14:paraId="3E9EC9A2" w14:textId="77777777" w:rsidR="00D7201F" w:rsidRPr="00082F7B" w:rsidRDefault="00D7201F" w:rsidP="00D7201F">
      <w:pPr>
        <w:spacing w:after="0" w:line="240" w:lineRule="auto"/>
        <w:rPr>
          <w:rFonts w:asciiTheme="majorHAnsi" w:hAnsiTheme="majorHAnsi" w:cstheme="minorHAnsi"/>
          <w:sz w:val="24"/>
          <w:szCs w:val="24"/>
        </w:rPr>
      </w:pPr>
    </w:p>
    <w:p w14:paraId="6CAA2C82" w14:textId="77777777" w:rsidR="00D7201F" w:rsidRPr="00082F7B" w:rsidRDefault="00D7201F" w:rsidP="00D7201F">
      <w:pPr>
        <w:pStyle w:val="Heading2"/>
        <w:keepLines/>
        <w:tabs>
          <w:tab w:val="left" w:pos="1080"/>
        </w:tabs>
        <w:suppressAutoHyphens w:val="0"/>
        <w:spacing w:before="0" w:after="200"/>
        <w:rPr>
          <w:rFonts w:asciiTheme="majorHAnsi" w:hAnsiTheme="majorHAnsi"/>
          <w:i/>
          <w:szCs w:val="24"/>
        </w:rPr>
      </w:pPr>
      <w:bookmarkStart w:id="135" w:name="_Toc436124908"/>
      <w:bookmarkStart w:id="136" w:name="_Toc459633559"/>
      <w:r w:rsidRPr="00082F7B">
        <w:rPr>
          <w:rFonts w:asciiTheme="majorHAnsi" w:hAnsiTheme="majorHAnsi"/>
          <w:szCs w:val="24"/>
        </w:rPr>
        <w:t>Kvalitet poslovnog plana i efekti na zapošljavanje i ekonomski razvoj</w:t>
      </w:r>
      <w:bookmarkEnd w:id="135"/>
      <w:bookmarkEnd w:id="136"/>
    </w:p>
    <w:p w14:paraId="577A5D34" w14:textId="77777777" w:rsidR="00D7201F" w:rsidRPr="00082F7B" w:rsidRDefault="00D7201F" w:rsidP="00D7201F">
      <w:pPr>
        <w:spacing w:after="0" w:line="240" w:lineRule="auto"/>
        <w:rPr>
          <w:rFonts w:asciiTheme="majorHAnsi" w:hAnsiTheme="majorHAnsi" w:cstheme="minorHAnsi"/>
          <w:sz w:val="24"/>
          <w:szCs w:val="24"/>
        </w:rPr>
      </w:pPr>
    </w:p>
    <w:p w14:paraId="0C5675FA" w14:textId="77777777" w:rsidR="00D7201F" w:rsidRPr="00082F7B" w:rsidRDefault="00D7201F" w:rsidP="00D7201F">
      <w:pPr>
        <w:pStyle w:val="ListParagraph"/>
        <w:suppressAutoHyphens w:val="0"/>
        <w:spacing w:after="0" w:line="240" w:lineRule="auto"/>
        <w:rPr>
          <w:rFonts w:asciiTheme="majorHAnsi" w:hAnsiTheme="majorHAnsi" w:cstheme="minorHAnsi"/>
          <w:b/>
          <w:vanish/>
          <w:sz w:val="24"/>
          <w:szCs w:val="24"/>
          <w:highlight w:val="yellow"/>
        </w:rPr>
      </w:pPr>
    </w:p>
    <w:p w14:paraId="6BF8A261" w14:textId="77777777" w:rsidR="00D7201F" w:rsidRPr="00082F7B" w:rsidRDefault="00D7201F" w:rsidP="00D7201F">
      <w:pPr>
        <w:pStyle w:val="ListParagraph"/>
        <w:numPr>
          <w:ilvl w:val="0"/>
          <w:numId w:val="12"/>
        </w:numPr>
        <w:suppressAutoHyphens w:val="0"/>
        <w:spacing w:after="0" w:line="240" w:lineRule="auto"/>
        <w:rPr>
          <w:rFonts w:asciiTheme="majorHAnsi" w:hAnsiTheme="majorHAnsi" w:cstheme="minorHAnsi"/>
          <w:b/>
          <w:vanish/>
          <w:sz w:val="24"/>
          <w:szCs w:val="24"/>
          <w:highlight w:val="yellow"/>
        </w:rPr>
      </w:pPr>
    </w:p>
    <w:p w14:paraId="3C7A43AC" w14:textId="77777777" w:rsidR="00D7201F" w:rsidRPr="00082F7B" w:rsidRDefault="00D7201F" w:rsidP="00D7201F">
      <w:pPr>
        <w:pStyle w:val="ListParagraph"/>
        <w:numPr>
          <w:ilvl w:val="0"/>
          <w:numId w:val="12"/>
        </w:numPr>
        <w:suppressAutoHyphens w:val="0"/>
        <w:spacing w:after="0" w:line="240" w:lineRule="auto"/>
        <w:rPr>
          <w:rFonts w:asciiTheme="majorHAnsi" w:hAnsiTheme="majorHAnsi" w:cstheme="minorHAnsi"/>
          <w:b/>
          <w:vanish/>
          <w:sz w:val="24"/>
          <w:szCs w:val="24"/>
          <w:highlight w:val="yellow"/>
        </w:rPr>
      </w:pPr>
    </w:p>
    <w:p w14:paraId="3982EEA2" w14:textId="77777777" w:rsidR="00D7201F" w:rsidRPr="00082F7B" w:rsidRDefault="00D7201F" w:rsidP="00D7201F">
      <w:pPr>
        <w:pStyle w:val="ListParagraph"/>
        <w:numPr>
          <w:ilvl w:val="0"/>
          <w:numId w:val="12"/>
        </w:numPr>
        <w:suppressAutoHyphens w:val="0"/>
        <w:spacing w:after="0" w:line="240" w:lineRule="auto"/>
        <w:rPr>
          <w:rFonts w:asciiTheme="majorHAnsi" w:hAnsiTheme="majorHAnsi" w:cstheme="minorHAnsi"/>
          <w:b/>
          <w:vanish/>
          <w:sz w:val="24"/>
          <w:szCs w:val="24"/>
          <w:highlight w:val="yellow"/>
        </w:rPr>
      </w:pPr>
    </w:p>
    <w:p w14:paraId="6F098BD3" w14:textId="77777777" w:rsidR="00D7201F" w:rsidRPr="00082F7B" w:rsidRDefault="00D7201F" w:rsidP="00D7201F">
      <w:pPr>
        <w:pStyle w:val="ListParagraph"/>
        <w:numPr>
          <w:ilvl w:val="0"/>
          <w:numId w:val="12"/>
        </w:numPr>
        <w:suppressAutoHyphens w:val="0"/>
        <w:spacing w:after="0" w:line="240" w:lineRule="auto"/>
        <w:rPr>
          <w:rFonts w:asciiTheme="majorHAnsi" w:hAnsiTheme="majorHAnsi" w:cstheme="minorHAnsi"/>
          <w:b/>
          <w:vanish/>
          <w:sz w:val="24"/>
          <w:szCs w:val="24"/>
          <w:highlight w:val="yellow"/>
        </w:rPr>
      </w:pPr>
    </w:p>
    <w:p w14:paraId="5C4608B9"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05C990C7"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20C3E787"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1695F997"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1294DDA4"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74079080"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613F79FB" w14:textId="77777777" w:rsidR="00D7201F" w:rsidRPr="00082F7B" w:rsidRDefault="00D7201F" w:rsidP="00D7201F">
      <w:pPr>
        <w:pStyle w:val="ListParagraph"/>
        <w:numPr>
          <w:ilvl w:val="1"/>
          <w:numId w:val="12"/>
        </w:numPr>
        <w:suppressAutoHyphens w:val="0"/>
        <w:spacing w:after="0" w:line="240" w:lineRule="auto"/>
        <w:rPr>
          <w:rFonts w:asciiTheme="majorHAnsi" w:hAnsiTheme="majorHAnsi" w:cstheme="minorHAnsi"/>
          <w:b/>
          <w:vanish/>
          <w:sz w:val="24"/>
          <w:szCs w:val="24"/>
          <w:highlight w:val="yellow"/>
        </w:rPr>
      </w:pPr>
    </w:p>
    <w:p w14:paraId="5B377935"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Ponuđač je dužan da u skladu sa parametrima iz Koncesionog akta dokaže i opiše poslovni plan za realizaciju koncesije i efekte realizacije koncesije na zapošljavanje i ekonomski razvoj.</w:t>
      </w:r>
    </w:p>
    <w:p w14:paraId="7A31DD16"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Ponuđač je, između ostalog, dužan opisati </w:t>
      </w:r>
      <w:r w:rsidRPr="00082F7B">
        <w:rPr>
          <w:rFonts w:asciiTheme="majorHAnsi" w:eastAsia="Times New Roman" w:hAnsiTheme="majorHAnsi" w:cstheme="minorHAnsi"/>
          <w:sz w:val="24"/>
          <w:szCs w:val="24"/>
          <w:lang w:val="sr-Latn-CS"/>
        </w:rPr>
        <w:t>planirana investiciona ulaganja za realizaciju koncesije (ulaganja u nabavku opreme i mehanizacije, u izgradnju infrastrukturnih objekata i u izradu projektne i ostale tehničke dokumentacije, itd..), zapošljavanje radnje snage, plasman proizvoda na tržište, itd..</w:t>
      </w:r>
    </w:p>
    <w:p w14:paraId="65FB9857"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Najveći broj bodova po ovom kriterijumu će se dati ponuđači koji najbolje dokumentuje i dokaže prethodno opisane uslove</w:t>
      </w:r>
    </w:p>
    <w:p w14:paraId="00102B7C" w14:textId="77777777" w:rsidR="00D7201F" w:rsidRPr="00082F7B" w:rsidRDefault="00D7201F" w:rsidP="00D7201F">
      <w:pPr>
        <w:spacing w:after="0" w:line="240" w:lineRule="auto"/>
        <w:rPr>
          <w:rFonts w:asciiTheme="majorHAnsi" w:hAnsiTheme="majorHAnsi"/>
          <w:sz w:val="24"/>
          <w:szCs w:val="24"/>
          <w:lang w:val="sr-Latn-CS"/>
        </w:rPr>
      </w:pPr>
    </w:p>
    <w:p w14:paraId="0760DA6A" w14:textId="77777777" w:rsidR="00D7201F" w:rsidRPr="00082F7B" w:rsidRDefault="00D7201F" w:rsidP="00D7201F">
      <w:pPr>
        <w:pStyle w:val="Heading1"/>
        <w:spacing w:before="0" w:after="0" w:line="240" w:lineRule="auto"/>
        <w:jc w:val="both"/>
        <w:rPr>
          <w:rFonts w:asciiTheme="majorHAnsi" w:hAnsiTheme="majorHAnsi"/>
          <w:szCs w:val="28"/>
          <w:lang w:val="sr-Latn-CS"/>
        </w:rPr>
      </w:pPr>
      <w:bookmarkStart w:id="137" w:name="_Toc435529031"/>
      <w:bookmarkStart w:id="138" w:name="_Toc390549920"/>
      <w:bookmarkStart w:id="139" w:name="_Toc401959450"/>
      <w:bookmarkStart w:id="140" w:name="_Toc401959543"/>
      <w:bookmarkStart w:id="141" w:name="_Toc436124909"/>
      <w:bookmarkStart w:id="142" w:name="_Toc459633560"/>
      <w:r w:rsidRPr="00082F7B">
        <w:rPr>
          <w:rFonts w:asciiTheme="majorHAnsi" w:hAnsiTheme="majorHAnsi"/>
          <w:szCs w:val="28"/>
          <w:lang w:val="sr-Latn-CS"/>
        </w:rPr>
        <w:t>Spisak potrebne tehničke dokumentacije sa uslovima za njenu izradu, odobrenja, saglasnosti i mišljenja za obavljanje koncesione djelatnosti</w:t>
      </w:r>
      <w:bookmarkStart w:id="143" w:name="_Toc390549921"/>
      <w:bookmarkEnd w:id="137"/>
      <w:bookmarkEnd w:id="138"/>
      <w:bookmarkEnd w:id="139"/>
      <w:bookmarkEnd w:id="140"/>
      <w:bookmarkEnd w:id="141"/>
      <w:bookmarkEnd w:id="142"/>
    </w:p>
    <w:p w14:paraId="29A7C7FD" w14:textId="77777777" w:rsidR="00D7201F" w:rsidRPr="00082F7B" w:rsidRDefault="00D7201F" w:rsidP="00D7201F">
      <w:pPr>
        <w:rPr>
          <w:rFonts w:asciiTheme="majorHAnsi" w:hAnsiTheme="majorHAnsi"/>
          <w:sz w:val="24"/>
          <w:szCs w:val="24"/>
          <w:lang w:val="sr-Latn-CS"/>
        </w:rPr>
      </w:pPr>
    </w:p>
    <w:p w14:paraId="24AFEDE0"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44" w:name="_Toc401959451"/>
      <w:bookmarkStart w:id="145" w:name="_Toc401959544"/>
      <w:bookmarkStart w:id="146" w:name="_Toc435529032"/>
      <w:bookmarkStart w:id="147" w:name="_Toc436124910"/>
      <w:bookmarkStart w:id="148" w:name="_Toc459633561"/>
      <w:r w:rsidRPr="00082F7B">
        <w:rPr>
          <w:rFonts w:asciiTheme="majorHAnsi" w:hAnsiTheme="majorHAnsi"/>
          <w:szCs w:val="24"/>
        </w:rPr>
        <w:t>Geološka istraživanja</w:t>
      </w:r>
      <w:bookmarkEnd w:id="143"/>
      <w:bookmarkEnd w:id="144"/>
      <w:bookmarkEnd w:id="145"/>
      <w:bookmarkEnd w:id="146"/>
      <w:bookmarkEnd w:id="147"/>
      <w:bookmarkEnd w:id="148"/>
    </w:p>
    <w:p w14:paraId="0C457E26"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Tokom eksploatacije, shodno odredbama Zakona o geološkim istraživanjima, budući Koncesionar je dužan da izvodi geološka istraživanja u cilju povećanja ukupnih rezervi mineralne sirovine</w:t>
      </w:r>
      <w:bookmarkStart w:id="149" w:name="_Toc390549922"/>
      <w:r w:rsidRPr="00082F7B">
        <w:rPr>
          <w:rFonts w:asciiTheme="majorHAnsi" w:hAnsiTheme="majorHAnsi" w:cstheme="minorHAnsi"/>
          <w:sz w:val="24"/>
          <w:szCs w:val="24"/>
          <w:lang w:val="sr-Latn-CS"/>
        </w:rPr>
        <w:t>.</w:t>
      </w:r>
    </w:p>
    <w:p w14:paraId="61052E20"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lastRenderedPageBreak/>
        <w:t xml:space="preserve">Tokom koncesionog perioda budući Koncesionar je dužan da, u skladu sa odredbama Zakona o geološkim istraživanjima, dostavlja nadležnom državnom organu za rudarstvo i geološka istraživanja svake pete godine na ovjeru Elaborat o kasifikaciji, kategorizaciji i proračunu rezervi mineralne sirovine, sa stanjem na dan 31. decembar prethodne godine, koji se izrađuje na osnovu posebnih propisa. </w:t>
      </w:r>
    </w:p>
    <w:p w14:paraId="1EC775EB"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50" w:name="_Toc401959452"/>
      <w:bookmarkStart w:id="151" w:name="_Toc401959545"/>
      <w:bookmarkStart w:id="152" w:name="_Toc459633562"/>
      <w:r w:rsidRPr="00082F7B">
        <w:rPr>
          <w:rFonts w:asciiTheme="majorHAnsi" w:hAnsiTheme="majorHAnsi"/>
          <w:szCs w:val="24"/>
        </w:rPr>
        <w:t>Eksploatacija mineralne sirovin</w:t>
      </w:r>
      <w:bookmarkEnd w:id="149"/>
      <w:r w:rsidRPr="00082F7B">
        <w:rPr>
          <w:rFonts w:asciiTheme="majorHAnsi" w:hAnsiTheme="majorHAnsi"/>
          <w:szCs w:val="24"/>
        </w:rPr>
        <w:t>e</w:t>
      </w:r>
      <w:bookmarkEnd w:id="150"/>
      <w:bookmarkEnd w:id="151"/>
      <w:bookmarkEnd w:id="152"/>
    </w:p>
    <w:p w14:paraId="65036840" w14:textId="77777777" w:rsidR="00D7201F" w:rsidRPr="00082F7B" w:rsidRDefault="00D7201F" w:rsidP="00D7201F">
      <w:pPr>
        <w:pStyle w:val="Heading3"/>
        <w:rPr>
          <w:rFonts w:asciiTheme="majorHAnsi" w:hAnsiTheme="majorHAnsi"/>
          <w:szCs w:val="24"/>
          <w:lang w:val="sr-Latn-CS"/>
        </w:rPr>
      </w:pPr>
      <w:bookmarkStart w:id="153" w:name="_Toc390549923"/>
      <w:bookmarkStart w:id="154" w:name="_Toc401959453"/>
      <w:bookmarkStart w:id="155" w:name="_Toc401959546"/>
      <w:bookmarkStart w:id="156" w:name="_Toc435529033"/>
      <w:bookmarkStart w:id="157" w:name="_Toc436124911"/>
      <w:bookmarkStart w:id="158" w:name="_Toc459633563"/>
      <w:r w:rsidRPr="00082F7B">
        <w:rPr>
          <w:rFonts w:asciiTheme="majorHAnsi" w:hAnsiTheme="majorHAnsi"/>
          <w:szCs w:val="24"/>
          <w:lang w:val="sr-Latn-CS"/>
        </w:rPr>
        <w:t>Odobrenje za eksploataciju mineralne sirovine na eksploatacionom polju</w:t>
      </w:r>
      <w:bookmarkStart w:id="159" w:name="_Toc435529034"/>
      <w:bookmarkEnd w:id="153"/>
      <w:bookmarkEnd w:id="154"/>
      <w:bookmarkEnd w:id="155"/>
      <w:bookmarkEnd w:id="156"/>
      <w:bookmarkEnd w:id="157"/>
      <w:bookmarkEnd w:id="158"/>
      <w:bookmarkEnd w:id="159"/>
    </w:p>
    <w:p w14:paraId="4EC33BB6"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Odobrenje za eksploataciju mineralne sirovine na eksploatacionom polju, u skladu sa članom 33 Zakona o rudarstvu, izdaje Ministarstvo ekonomije na zahtjev investitora. Uz zahtjev se dostavlja i sljedeća dokumentacija:</w:t>
      </w:r>
    </w:p>
    <w:p w14:paraId="32D69481"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ugovor o koncesiji;</w:t>
      </w:r>
    </w:p>
    <w:p w14:paraId="6D0BD51A"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situaciona karta u razmjeri 1:10.000 ( ili većoj) sa ucrtanim granicama eksploatacionog polja, javnim saobraćajnicama, rudarskim radovima i drugim objektima koji se nalaze na eksploatacionom polju, opisom granica, nazivom eksploatacionog polja i naznačenjem opštine na čijoj se teritoriji nalazi;</w:t>
      </w:r>
    </w:p>
    <w:p w14:paraId="79FB4825"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potvrdu o bilansnim rezervama mineralnih sirovina koja se izdaje u skladu sa važećim propisima o klasifikaciji i kategorizaciji rezervi;</w:t>
      </w:r>
    </w:p>
    <w:p w14:paraId="380B9D77"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studija izvodljivosti eksploatacije ležišta mineralnih sirovina sa prikazom uslova i načina eksploatacije i pripreme mineralnih sirovina sa dinamikom izvođenja radova i podacima o metanoobilnosti, zaprašenosti i zavodnjenosti, oplemenjivanju, upotrebi i plasmanu, mjerama zaštite i sanacije životne sredine kao i podacima o tehničkoj opremljenosti i stručnim kadrovima;</w:t>
      </w:r>
    </w:p>
    <w:p w14:paraId="30A4B8F8"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mišljenje nadležnog organa za zaštitu životne sredine na studiju izvodljivosti eksploatacije;</w:t>
      </w:r>
    </w:p>
    <w:p w14:paraId="3A58DAA9"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akt organa nadležnog za poslove urbanizma u pogledu usaglašenosti planirane eksploatacije mineralnih sirovina sa odgovarajućim prostornim, odnosno urbanističkim planovima;</w:t>
      </w:r>
    </w:p>
    <w:p w14:paraId="7DC953B1" w14:textId="77777777" w:rsidR="00D7201F" w:rsidRPr="00082F7B" w:rsidRDefault="00D7201F" w:rsidP="00D7201F">
      <w:pPr>
        <w:pStyle w:val="ListParagraph"/>
        <w:numPr>
          <w:ilvl w:val="0"/>
          <w:numId w:val="15"/>
        </w:numPr>
        <w:suppressAutoHyphens w:val="0"/>
        <w:autoSpaceDE w:val="0"/>
        <w:autoSpaceDN w:val="0"/>
        <w:adjustRightInd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licenca za izvođenje radova;</w:t>
      </w:r>
    </w:p>
    <w:p w14:paraId="2F9CA663" w14:textId="77777777" w:rsidR="00D7201F" w:rsidRPr="00082F7B" w:rsidRDefault="00D7201F" w:rsidP="00D7201F">
      <w:pPr>
        <w:pStyle w:val="ListParagraph"/>
        <w:numPr>
          <w:ilvl w:val="0"/>
          <w:numId w:val="15"/>
        </w:numPr>
        <w:suppressAutoHyphens w:val="0"/>
        <w:autoSpaceDE w:val="0"/>
        <w:autoSpaceDN w:val="0"/>
        <w:adjustRightInd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drugi podaci od značaja za izdavanje odobrenja na zahtjev nadležnog organa.</w:t>
      </w:r>
    </w:p>
    <w:p w14:paraId="27A7EBD3" w14:textId="77777777" w:rsidR="00D7201F" w:rsidRPr="00082F7B" w:rsidRDefault="00D7201F" w:rsidP="00D7201F">
      <w:pPr>
        <w:pStyle w:val="Heading3"/>
        <w:rPr>
          <w:rFonts w:asciiTheme="majorHAnsi" w:hAnsiTheme="majorHAnsi"/>
          <w:szCs w:val="24"/>
          <w:lang w:val="sr-Latn-CS"/>
        </w:rPr>
      </w:pPr>
      <w:bookmarkStart w:id="160" w:name="_Toc390549924"/>
      <w:bookmarkStart w:id="161" w:name="_Toc401959454"/>
      <w:bookmarkStart w:id="162" w:name="_Toc401959547"/>
      <w:bookmarkStart w:id="163" w:name="_Toc435529035"/>
      <w:bookmarkStart w:id="164" w:name="_Toc436124912"/>
      <w:bookmarkStart w:id="165" w:name="_Toc459633564"/>
      <w:r w:rsidRPr="00082F7B">
        <w:rPr>
          <w:rFonts w:asciiTheme="majorHAnsi" w:hAnsiTheme="majorHAnsi"/>
          <w:szCs w:val="24"/>
          <w:lang w:val="sr-Latn-CS"/>
        </w:rPr>
        <w:t>Odobrenje za izvođenje radova po rudarskom projektu</w:t>
      </w:r>
      <w:bookmarkEnd w:id="160"/>
      <w:bookmarkEnd w:id="161"/>
      <w:bookmarkEnd w:id="162"/>
      <w:bookmarkEnd w:id="163"/>
      <w:bookmarkEnd w:id="164"/>
      <w:bookmarkEnd w:id="165"/>
    </w:p>
    <w:p w14:paraId="700EB88B"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Nakon dobijanja odobrenja za eksploataciju mineralne sirovine na eksploatacionom polju, pristupa se izradi rudarske tehničke dokumentacije –rudarskog projekta eksploatacije.</w:t>
      </w:r>
    </w:p>
    <w:p w14:paraId="7FCAA3DA"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b/>
          <w:sz w:val="24"/>
          <w:szCs w:val="24"/>
          <w:lang w:val="sr-Latn-CS"/>
        </w:rPr>
        <w:t>Rudarski projekat</w:t>
      </w:r>
      <w:r w:rsidRPr="00082F7B">
        <w:rPr>
          <w:rFonts w:asciiTheme="majorHAnsi" w:hAnsiTheme="majorHAnsi" w:cstheme="minorHAnsi"/>
          <w:sz w:val="24"/>
          <w:szCs w:val="24"/>
          <w:lang w:val="sr-Latn-CS"/>
        </w:rPr>
        <w:t xml:space="preserve"> izrađuje se za izgradnju novih rudarskih objekata, sistema otvaranja i pripreme rudarskih objekata radi eksploatacije mineralne sirovine. Rudarski projekat </w:t>
      </w:r>
      <w:r w:rsidRPr="00082F7B">
        <w:rPr>
          <w:rFonts w:asciiTheme="majorHAnsi" w:hAnsiTheme="majorHAnsi" w:cstheme="minorHAnsi"/>
          <w:sz w:val="24"/>
          <w:szCs w:val="24"/>
          <w:lang w:val="sr-Latn-CS"/>
        </w:rPr>
        <w:lastRenderedPageBreak/>
        <w:t>podliježe tehničkoj kontroli (reviziji), koju vrši nadležni organ preko stručne komisije ili pravnog lica koje ima Licencu za izradu rudarskih projekata.</w:t>
      </w:r>
    </w:p>
    <w:p w14:paraId="1BFCF009"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Odobrenje za izvođenje radova po rudarskom projektu, u skladu sa članom 53 Zakona o rudarstvu, izdaje Ministarstvo ekonomije na zahtjev investitora. Uz zahtjev se dostavlja i sljedeća dokumentacija:</w:t>
      </w:r>
    </w:p>
    <w:p w14:paraId="51915D43"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rudarski projekat sa revizionom klauzulom;</w:t>
      </w:r>
    </w:p>
    <w:p w14:paraId="50B3C4EE"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potvrda-saglasnost organa koji je izdao uslove da je rudarski projekat urađen u skladu sa izdatim uslovima;</w:t>
      </w:r>
    </w:p>
    <w:p w14:paraId="1B96C664"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urbanističko-tehnički uslovi;</w:t>
      </w:r>
    </w:p>
    <w:p w14:paraId="02459B56"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dokaz o pravu svojine ili korišćenja na zemljištu, odnosno službenosti za najmanje dvije godine eksploatacije mineralne sirovine prema dinamici utvrđenoj koncesionim pravom;</w:t>
      </w:r>
    </w:p>
    <w:p w14:paraId="4364DDC7"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saglasnost organa državne uprave nadležnog za poslove zaštite životne sredine na elaborat procjene uticaja na životnu sredinu ili odluku da nije potrebno vršiti procjenu uticaja koje se izdaju u skladu sa posebnim propisom;</w:t>
      </w:r>
    </w:p>
    <w:p w14:paraId="0F9CE33B"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vodoprivredna saglasnost na projekte kada eksploatacija mineralnih sirovina utiče na režim voda;</w:t>
      </w:r>
    </w:p>
    <w:p w14:paraId="10C600F0"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saobraćajna saglasnost za pristup javnim saobraćajnicama;</w:t>
      </w:r>
    </w:p>
    <w:p w14:paraId="171EBB00" w14:textId="77777777" w:rsidR="00D7201F" w:rsidRPr="00082F7B" w:rsidRDefault="00D7201F" w:rsidP="00D7201F">
      <w:pPr>
        <w:pStyle w:val="ListParagraph"/>
        <w:numPr>
          <w:ilvl w:val="0"/>
          <w:numId w:val="16"/>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licenca za izvođenje radova;</w:t>
      </w:r>
    </w:p>
    <w:p w14:paraId="10F8B13D" w14:textId="77777777" w:rsidR="00D7201F" w:rsidRPr="00082F7B" w:rsidRDefault="00D7201F" w:rsidP="00D7201F">
      <w:pPr>
        <w:pStyle w:val="ListParagraph"/>
        <w:numPr>
          <w:ilvl w:val="0"/>
          <w:numId w:val="16"/>
        </w:numPr>
        <w:suppressAutoHyphens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 dokaz o plaćenoj naknadi za promjenu namjene korišćenja poljoprivrednog zemljišta.</w:t>
      </w:r>
    </w:p>
    <w:p w14:paraId="2FB43A84"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Za izgradnju rudarskih objekata i postrojenja dostavlja se i dokumentacija u skladu sa propisima o građenju u zavisnosti od vrste objekta i utvrđenih uslova za izradu tehničke dokumentacije, a naročito sljedeće saglasnosti: elektro-energetska, zaštite na radu, sanitarna, protivpožarna, vodovodna, za priključenje na telekomunikacionu mrežu.</w:t>
      </w:r>
    </w:p>
    <w:p w14:paraId="3035AD20" w14:textId="77777777" w:rsidR="00D7201F" w:rsidRPr="00082F7B" w:rsidRDefault="00D7201F" w:rsidP="00D7201F">
      <w:pPr>
        <w:pStyle w:val="Heading3"/>
        <w:rPr>
          <w:rFonts w:asciiTheme="majorHAnsi" w:hAnsiTheme="majorHAnsi"/>
          <w:szCs w:val="24"/>
          <w:lang w:val="sr-Latn-CS"/>
        </w:rPr>
      </w:pPr>
      <w:bookmarkStart w:id="166" w:name="_Toc390549925"/>
      <w:bookmarkStart w:id="167" w:name="_Toc401959455"/>
      <w:bookmarkStart w:id="168" w:name="_Toc401959548"/>
      <w:bookmarkStart w:id="169" w:name="_Toc435529036"/>
      <w:bookmarkStart w:id="170" w:name="_Toc436124913"/>
      <w:bookmarkStart w:id="171" w:name="_Toc459633565"/>
      <w:r w:rsidRPr="00082F7B">
        <w:rPr>
          <w:rFonts w:asciiTheme="majorHAnsi" w:hAnsiTheme="majorHAnsi"/>
          <w:szCs w:val="24"/>
          <w:lang w:val="sr-Latn-CS"/>
        </w:rPr>
        <w:t>Odobrenje za upotrebu rudarskih objekata</w:t>
      </w:r>
      <w:bookmarkEnd w:id="166"/>
      <w:bookmarkEnd w:id="167"/>
      <w:bookmarkEnd w:id="168"/>
      <w:bookmarkEnd w:id="169"/>
      <w:bookmarkEnd w:id="170"/>
      <w:bookmarkEnd w:id="171"/>
    </w:p>
    <w:p w14:paraId="163F6FEE"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Izgrađeni rudarski objekti ili djelovi rudarskih objekata koji se mogu samostalno koristiti, prije početka korišćenja, podliježu tehničkom pregledu, koji obuhvata pregled: rudarskih i građevinskih radova, električnih postrojenja, uređaja i instalacija i rudarske opreme i postrojenja.</w:t>
      </w:r>
    </w:p>
    <w:p w14:paraId="1AB5C5FE"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Tehničkim pregledom utvrđuje se usklađenost izvedenih radova sa tehničkom dokumentacijom na osnovu koje je izdato odobrenje za izvođenje radova, tehničkim propisima čija je primjena obavezna pri izgradnji rudarskih objekata i mjerama i </w:t>
      </w:r>
      <w:r w:rsidRPr="00082F7B">
        <w:rPr>
          <w:rFonts w:asciiTheme="majorHAnsi" w:hAnsiTheme="majorHAnsi" w:cstheme="minorHAnsi"/>
          <w:sz w:val="24"/>
          <w:szCs w:val="24"/>
          <w:lang w:val="sr-Latn-CS"/>
        </w:rPr>
        <w:lastRenderedPageBreak/>
        <w:t>normativima zaštite na radu i zaštite životne sredine. Troškove tehničkog pregleda snosi investitor.</w:t>
      </w:r>
    </w:p>
    <w:p w14:paraId="4A797485"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Tehnički pregled i odobrenje za upotrebu rudarskih objekata ili dijela objekta vrši nadležni organ preko stručne komisije ili pravnog lica u skladu sa propisima o izgradnji objekata.</w:t>
      </w:r>
    </w:p>
    <w:p w14:paraId="3077E497"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Ako je za izdavanje odobrenja za upotrebu rudarskih objekata posebnim zakonom propisana obaveza prethodnog pribavljanja saglasnosti ili dozvole drugih organa ili organizacija, uz zahtjev za izdavanje odobrenja podnosi se i saglasnost, odnosno, dozvola. </w:t>
      </w:r>
    </w:p>
    <w:p w14:paraId="02893945"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lang w:val="sr-Latn-CS"/>
        </w:rPr>
      </w:pPr>
      <w:bookmarkStart w:id="172" w:name="_Toc390549926"/>
      <w:bookmarkStart w:id="173" w:name="_Toc401959456"/>
      <w:bookmarkStart w:id="174" w:name="_Toc401959549"/>
      <w:bookmarkStart w:id="175" w:name="_Toc435529037"/>
      <w:bookmarkStart w:id="176" w:name="_Toc436124914"/>
      <w:bookmarkStart w:id="177" w:name="_Toc459633566"/>
      <w:r w:rsidRPr="00082F7B">
        <w:rPr>
          <w:rFonts w:asciiTheme="majorHAnsi" w:hAnsiTheme="majorHAnsi"/>
          <w:szCs w:val="24"/>
        </w:rPr>
        <w:t>Hronologija</w:t>
      </w:r>
      <w:r w:rsidRPr="00082F7B">
        <w:rPr>
          <w:rFonts w:asciiTheme="majorHAnsi" w:hAnsiTheme="majorHAnsi"/>
          <w:szCs w:val="24"/>
          <w:lang w:val="sr-Latn-CS"/>
        </w:rPr>
        <w:t xml:space="preserve"> </w:t>
      </w:r>
      <w:r w:rsidRPr="00082F7B">
        <w:rPr>
          <w:rFonts w:asciiTheme="majorHAnsi" w:hAnsiTheme="majorHAnsi"/>
          <w:szCs w:val="24"/>
        </w:rPr>
        <w:t>izrade</w:t>
      </w:r>
      <w:r w:rsidRPr="00082F7B">
        <w:rPr>
          <w:rFonts w:asciiTheme="majorHAnsi" w:hAnsiTheme="majorHAnsi"/>
          <w:szCs w:val="24"/>
          <w:lang w:val="sr-Latn-CS"/>
        </w:rPr>
        <w:t xml:space="preserve"> </w:t>
      </w:r>
      <w:r w:rsidRPr="00082F7B">
        <w:rPr>
          <w:rFonts w:asciiTheme="majorHAnsi" w:hAnsiTheme="majorHAnsi"/>
          <w:szCs w:val="24"/>
        </w:rPr>
        <w:t>tehni</w:t>
      </w:r>
      <w:r w:rsidRPr="00082F7B">
        <w:rPr>
          <w:rFonts w:asciiTheme="majorHAnsi" w:hAnsiTheme="majorHAnsi"/>
          <w:szCs w:val="24"/>
          <w:lang w:val="sr-Latn-CS"/>
        </w:rPr>
        <w:t>č</w:t>
      </w:r>
      <w:r w:rsidRPr="00082F7B">
        <w:rPr>
          <w:rFonts w:asciiTheme="majorHAnsi" w:hAnsiTheme="majorHAnsi"/>
          <w:szCs w:val="24"/>
        </w:rPr>
        <w:t>ke</w:t>
      </w:r>
      <w:r w:rsidRPr="00082F7B">
        <w:rPr>
          <w:rFonts w:asciiTheme="majorHAnsi" w:hAnsiTheme="majorHAnsi"/>
          <w:szCs w:val="24"/>
          <w:lang w:val="sr-Latn-CS"/>
        </w:rPr>
        <w:t xml:space="preserve"> </w:t>
      </w:r>
      <w:r w:rsidRPr="00082F7B">
        <w:rPr>
          <w:rFonts w:asciiTheme="majorHAnsi" w:hAnsiTheme="majorHAnsi"/>
          <w:szCs w:val="24"/>
        </w:rPr>
        <w:t>dokumentacije</w:t>
      </w:r>
      <w:r w:rsidRPr="00082F7B">
        <w:rPr>
          <w:rFonts w:asciiTheme="majorHAnsi" w:hAnsiTheme="majorHAnsi"/>
          <w:szCs w:val="24"/>
          <w:lang w:val="sr-Latn-CS"/>
        </w:rPr>
        <w:t xml:space="preserve"> </w:t>
      </w:r>
      <w:r w:rsidRPr="00082F7B">
        <w:rPr>
          <w:rFonts w:asciiTheme="majorHAnsi" w:hAnsiTheme="majorHAnsi"/>
          <w:szCs w:val="24"/>
        </w:rPr>
        <w:t>i</w:t>
      </w:r>
      <w:r w:rsidRPr="00082F7B">
        <w:rPr>
          <w:rFonts w:asciiTheme="majorHAnsi" w:hAnsiTheme="majorHAnsi"/>
          <w:szCs w:val="24"/>
          <w:lang w:val="sr-Latn-CS"/>
        </w:rPr>
        <w:t xml:space="preserve"> </w:t>
      </w:r>
      <w:r w:rsidRPr="00082F7B">
        <w:rPr>
          <w:rFonts w:asciiTheme="majorHAnsi" w:hAnsiTheme="majorHAnsi"/>
          <w:szCs w:val="24"/>
        </w:rPr>
        <w:t>pribavljanja</w:t>
      </w:r>
      <w:r w:rsidRPr="00082F7B">
        <w:rPr>
          <w:rFonts w:asciiTheme="majorHAnsi" w:hAnsiTheme="majorHAnsi"/>
          <w:szCs w:val="24"/>
          <w:lang w:val="sr-Latn-CS"/>
        </w:rPr>
        <w:t xml:space="preserve"> </w:t>
      </w:r>
      <w:r w:rsidRPr="00082F7B">
        <w:rPr>
          <w:rFonts w:asciiTheme="majorHAnsi" w:hAnsiTheme="majorHAnsi"/>
          <w:szCs w:val="24"/>
        </w:rPr>
        <w:t>odobrenja</w:t>
      </w:r>
      <w:r w:rsidRPr="00082F7B">
        <w:rPr>
          <w:rFonts w:asciiTheme="majorHAnsi" w:hAnsiTheme="majorHAnsi"/>
          <w:szCs w:val="24"/>
          <w:lang w:val="sr-Latn-CS"/>
        </w:rPr>
        <w:t xml:space="preserve"> </w:t>
      </w:r>
      <w:r w:rsidRPr="00082F7B">
        <w:rPr>
          <w:rFonts w:asciiTheme="majorHAnsi" w:hAnsiTheme="majorHAnsi"/>
          <w:szCs w:val="24"/>
        </w:rPr>
        <w:t>i</w:t>
      </w:r>
      <w:r w:rsidRPr="00082F7B">
        <w:rPr>
          <w:rFonts w:asciiTheme="majorHAnsi" w:hAnsiTheme="majorHAnsi"/>
          <w:szCs w:val="24"/>
          <w:lang w:val="sr-Latn-CS"/>
        </w:rPr>
        <w:t xml:space="preserve"> </w:t>
      </w:r>
      <w:r w:rsidRPr="00082F7B">
        <w:rPr>
          <w:rFonts w:asciiTheme="majorHAnsi" w:hAnsiTheme="majorHAnsi"/>
          <w:szCs w:val="24"/>
        </w:rPr>
        <w:t>saglasnosti</w:t>
      </w:r>
      <w:r w:rsidRPr="00082F7B">
        <w:rPr>
          <w:rFonts w:asciiTheme="majorHAnsi" w:hAnsiTheme="majorHAnsi"/>
          <w:szCs w:val="24"/>
          <w:lang w:val="sr-Latn-CS"/>
        </w:rPr>
        <w:t xml:space="preserve"> </w:t>
      </w:r>
      <w:r w:rsidRPr="00082F7B">
        <w:rPr>
          <w:rFonts w:asciiTheme="majorHAnsi" w:hAnsiTheme="majorHAnsi"/>
          <w:szCs w:val="24"/>
        </w:rPr>
        <w:t>za</w:t>
      </w:r>
      <w:r w:rsidRPr="00082F7B">
        <w:rPr>
          <w:rFonts w:asciiTheme="majorHAnsi" w:hAnsiTheme="majorHAnsi"/>
          <w:szCs w:val="24"/>
          <w:lang w:val="sr-Latn-CS"/>
        </w:rPr>
        <w:t xml:space="preserve"> </w:t>
      </w:r>
      <w:r w:rsidRPr="00082F7B">
        <w:rPr>
          <w:rFonts w:asciiTheme="majorHAnsi" w:hAnsiTheme="majorHAnsi"/>
          <w:szCs w:val="24"/>
        </w:rPr>
        <w:t>izvo</w:t>
      </w:r>
      <w:r w:rsidRPr="00082F7B">
        <w:rPr>
          <w:rFonts w:asciiTheme="majorHAnsi" w:hAnsiTheme="majorHAnsi"/>
          <w:szCs w:val="24"/>
          <w:lang w:val="sr-Latn-CS"/>
        </w:rPr>
        <w:t>đ</w:t>
      </w:r>
      <w:r w:rsidRPr="00082F7B">
        <w:rPr>
          <w:rFonts w:asciiTheme="majorHAnsi" w:hAnsiTheme="majorHAnsi"/>
          <w:szCs w:val="24"/>
        </w:rPr>
        <w:t>enje</w:t>
      </w:r>
      <w:r w:rsidRPr="00082F7B">
        <w:rPr>
          <w:rFonts w:asciiTheme="majorHAnsi" w:hAnsiTheme="majorHAnsi"/>
          <w:szCs w:val="24"/>
          <w:lang w:val="sr-Latn-CS"/>
        </w:rPr>
        <w:t xml:space="preserve"> </w:t>
      </w:r>
      <w:r w:rsidRPr="00082F7B">
        <w:rPr>
          <w:rFonts w:asciiTheme="majorHAnsi" w:hAnsiTheme="majorHAnsi"/>
          <w:szCs w:val="24"/>
        </w:rPr>
        <w:t>rudarskih</w:t>
      </w:r>
      <w:r w:rsidRPr="00082F7B">
        <w:rPr>
          <w:rFonts w:asciiTheme="majorHAnsi" w:hAnsiTheme="majorHAnsi"/>
          <w:szCs w:val="24"/>
          <w:lang w:val="sr-Latn-CS"/>
        </w:rPr>
        <w:t xml:space="preserve"> </w:t>
      </w:r>
      <w:r w:rsidRPr="00082F7B">
        <w:rPr>
          <w:rFonts w:asciiTheme="majorHAnsi" w:hAnsiTheme="majorHAnsi"/>
          <w:szCs w:val="24"/>
        </w:rPr>
        <w:t>radova</w:t>
      </w:r>
      <w:bookmarkEnd w:id="172"/>
      <w:bookmarkEnd w:id="173"/>
      <w:bookmarkEnd w:id="174"/>
      <w:bookmarkEnd w:id="175"/>
      <w:bookmarkEnd w:id="176"/>
      <w:bookmarkEnd w:id="177"/>
    </w:p>
    <w:p w14:paraId="6566B952" w14:textId="77777777" w:rsidR="00D7201F" w:rsidRPr="00082F7B" w:rsidRDefault="00D7201F" w:rsidP="00D7201F">
      <w:pPr>
        <w:pStyle w:val="ListParagraph"/>
        <w:numPr>
          <w:ilvl w:val="0"/>
          <w:numId w:val="17"/>
        </w:numPr>
        <w:tabs>
          <w:tab w:val="left" w:pos="1980"/>
        </w:tabs>
        <w:suppressAutoHyphens w:val="0"/>
        <w:spacing w:after="0"/>
        <w:ind w:left="1170" w:hanging="450"/>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Izdavanje Licence za izvođenje rudarskih radova; </w:t>
      </w:r>
    </w:p>
    <w:p w14:paraId="30E073E8" w14:textId="77777777" w:rsidR="00D7201F" w:rsidRPr="00082F7B" w:rsidRDefault="00D7201F" w:rsidP="00D7201F">
      <w:pPr>
        <w:pStyle w:val="ListParagraph"/>
        <w:numPr>
          <w:ilvl w:val="0"/>
          <w:numId w:val="17"/>
        </w:numPr>
        <w:tabs>
          <w:tab w:val="left" w:pos="1980"/>
        </w:tabs>
        <w:suppressAutoHyphens w:val="0"/>
        <w:spacing w:after="0"/>
        <w:ind w:left="1980" w:hanging="1260"/>
        <w:rPr>
          <w:rFonts w:asciiTheme="majorHAnsi" w:hAnsiTheme="majorHAnsi" w:cstheme="minorHAnsi"/>
          <w:sz w:val="24"/>
          <w:szCs w:val="24"/>
          <w:lang w:val="sr-Latn-CS"/>
        </w:rPr>
      </w:pPr>
      <w:r w:rsidRPr="00082F7B">
        <w:rPr>
          <w:rFonts w:asciiTheme="majorHAnsi" w:hAnsiTheme="majorHAnsi" w:cstheme="minorHAnsi"/>
          <w:sz w:val="24"/>
          <w:szCs w:val="24"/>
          <w:lang w:val="sr-Latn-CS"/>
        </w:rPr>
        <w:t>Izrada rudarskog projekta i njegova revizija od strane Ministarstva ekonomije;</w:t>
      </w:r>
    </w:p>
    <w:p w14:paraId="2DCB5217" w14:textId="77777777" w:rsidR="00D7201F" w:rsidRPr="00082F7B" w:rsidRDefault="00D7201F" w:rsidP="00D7201F">
      <w:pPr>
        <w:pStyle w:val="ListParagraph"/>
        <w:numPr>
          <w:ilvl w:val="0"/>
          <w:numId w:val="17"/>
        </w:numPr>
        <w:tabs>
          <w:tab w:val="left" w:pos="1980"/>
        </w:tabs>
        <w:suppressAutoHyphens w:val="0"/>
        <w:spacing w:after="0"/>
        <w:ind w:left="1980" w:hanging="1260"/>
        <w:rPr>
          <w:rFonts w:asciiTheme="majorHAnsi" w:hAnsiTheme="majorHAnsi" w:cstheme="minorHAnsi"/>
          <w:sz w:val="24"/>
          <w:szCs w:val="24"/>
          <w:lang w:val="sr-Latn-CS"/>
        </w:rPr>
      </w:pPr>
      <w:r w:rsidRPr="00082F7B">
        <w:rPr>
          <w:rFonts w:asciiTheme="majorHAnsi" w:hAnsiTheme="majorHAnsi" w:cstheme="minorHAnsi"/>
          <w:sz w:val="24"/>
          <w:szCs w:val="24"/>
          <w:lang w:val="sr-Latn-CS"/>
        </w:rPr>
        <w:t>Dobijanje odobrenja za eksploataciju mineralne sirovine na eksploatacionom polju;</w:t>
      </w:r>
    </w:p>
    <w:p w14:paraId="6C1908C8" w14:textId="77777777" w:rsidR="00D7201F" w:rsidRPr="00082F7B" w:rsidRDefault="00D7201F" w:rsidP="00D7201F">
      <w:pPr>
        <w:pStyle w:val="ListParagraph"/>
        <w:numPr>
          <w:ilvl w:val="0"/>
          <w:numId w:val="17"/>
        </w:numPr>
        <w:suppressAutoHyphens w:val="0"/>
        <w:spacing w:after="0"/>
        <w:ind w:left="1980" w:hanging="1260"/>
        <w:rPr>
          <w:rFonts w:asciiTheme="majorHAnsi" w:hAnsiTheme="majorHAnsi" w:cstheme="minorHAnsi"/>
          <w:sz w:val="24"/>
          <w:szCs w:val="24"/>
          <w:lang w:val="sr-Latn-CS"/>
        </w:rPr>
      </w:pPr>
      <w:r w:rsidRPr="00082F7B">
        <w:rPr>
          <w:rFonts w:asciiTheme="majorHAnsi" w:hAnsiTheme="majorHAnsi" w:cstheme="minorHAnsi"/>
          <w:sz w:val="24"/>
          <w:szCs w:val="24"/>
          <w:lang w:val="sr-Latn-CS"/>
        </w:rPr>
        <w:t>Dobijanje odobrenja za izvođenje radova po rudarskom projektu;</w:t>
      </w:r>
    </w:p>
    <w:p w14:paraId="1772C4FD" w14:textId="77777777" w:rsidR="00D7201F" w:rsidRPr="00082F7B" w:rsidRDefault="00D7201F" w:rsidP="00D7201F">
      <w:pPr>
        <w:pStyle w:val="ListParagraph"/>
        <w:numPr>
          <w:ilvl w:val="0"/>
          <w:numId w:val="17"/>
        </w:numPr>
        <w:tabs>
          <w:tab w:val="left" w:pos="1980"/>
        </w:tabs>
        <w:suppressAutoHyphens w:val="0"/>
        <w:spacing w:after="0"/>
        <w:ind w:left="990" w:hanging="270"/>
        <w:rPr>
          <w:rFonts w:asciiTheme="majorHAnsi" w:hAnsiTheme="majorHAnsi" w:cstheme="minorHAnsi"/>
          <w:sz w:val="24"/>
          <w:szCs w:val="24"/>
          <w:lang w:val="sr-Latn-CS"/>
        </w:rPr>
      </w:pPr>
      <w:r w:rsidRPr="00082F7B">
        <w:rPr>
          <w:rFonts w:asciiTheme="majorHAnsi" w:hAnsiTheme="majorHAnsi" w:cstheme="minorHAnsi"/>
          <w:sz w:val="24"/>
          <w:szCs w:val="24"/>
          <w:lang w:val="sr-Latn-CS"/>
        </w:rPr>
        <w:t>Tehnički prijem rudarskih objekata.</w:t>
      </w:r>
    </w:p>
    <w:p w14:paraId="28FBD9C8" w14:textId="77777777" w:rsidR="00D7201F" w:rsidRPr="00082F7B" w:rsidRDefault="00D7201F" w:rsidP="00D7201F">
      <w:pPr>
        <w:pStyle w:val="ListParagraph"/>
        <w:tabs>
          <w:tab w:val="left" w:pos="1980"/>
        </w:tabs>
        <w:spacing w:after="0"/>
        <w:ind w:left="990"/>
        <w:rPr>
          <w:rFonts w:asciiTheme="majorHAnsi" w:hAnsiTheme="majorHAnsi" w:cstheme="minorHAnsi"/>
          <w:sz w:val="24"/>
          <w:szCs w:val="24"/>
          <w:lang w:val="sr-Latn-CS"/>
        </w:rPr>
      </w:pPr>
    </w:p>
    <w:p w14:paraId="60DE8627" w14:textId="77777777" w:rsidR="00D7201F" w:rsidRPr="00082F7B" w:rsidRDefault="00D7201F" w:rsidP="00D7201F">
      <w:pPr>
        <w:pStyle w:val="Heading1"/>
        <w:spacing w:before="0" w:after="0" w:line="240" w:lineRule="auto"/>
        <w:jc w:val="both"/>
        <w:rPr>
          <w:rFonts w:asciiTheme="majorHAnsi" w:hAnsiTheme="majorHAnsi"/>
          <w:szCs w:val="28"/>
          <w:lang w:val="sr-Latn-CS"/>
        </w:rPr>
      </w:pPr>
      <w:bookmarkStart w:id="178" w:name="_Toc390549927"/>
      <w:bookmarkStart w:id="179" w:name="_Toc401959457"/>
      <w:bookmarkStart w:id="180" w:name="_Toc401959550"/>
      <w:bookmarkStart w:id="181" w:name="_Toc435529038"/>
      <w:bookmarkStart w:id="182" w:name="_Toc436124915"/>
      <w:bookmarkStart w:id="183" w:name="_Toc459633567"/>
      <w:r w:rsidRPr="00082F7B">
        <w:rPr>
          <w:rFonts w:asciiTheme="majorHAnsi" w:hAnsiTheme="majorHAnsi"/>
          <w:szCs w:val="28"/>
          <w:lang w:val="sr-Latn-CS"/>
        </w:rPr>
        <w:t>Osnovni elementi tenderske dokumentacije (javni oglas, dokumentacija vezana za ponudu)</w:t>
      </w:r>
      <w:bookmarkEnd w:id="178"/>
      <w:bookmarkEnd w:id="179"/>
      <w:bookmarkEnd w:id="180"/>
      <w:bookmarkEnd w:id="181"/>
      <w:bookmarkEnd w:id="182"/>
      <w:bookmarkEnd w:id="183"/>
    </w:p>
    <w:p w14:paraId="169A78EC" w14:textId="77777777" w:rsidR="00082F7B" w:rsidRDefault="00082F7B" w:rsidP="00D7201F">
      <w:pPr>
        <w:jc w:val="both"/>
        <w:rPr>
          <w:rFonts w:asciiTheme="majorHAnsi" w:eastAsia="Times New Roman" w:hAnsiTheme="majorHAnsi" w:cstheme="minorHAnsi"/>
          <w:sz w:val="24"/>
          <w:szCs w:val="24"/>
          <w:lang w:val="sr-Latn-CS"/>
        </w:rPr>
      </w:pPr>
    </w:p>
    <w:p w14:paraId="53CD5E5C" w14:textId="77777777" w:rsidR="00D7201F" w:rsidRPr="00082F7B" w:rsidRDefault="00D7201F" w:rsidP="00D7201F">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Tendersku dokumentaciju čine sljedeća dokumenta:</w:t>
      </w:r>
    </w:p>
    <w:p w14:paraId="08A9C13F" w14:textId="77777777" w:rsidR="00D7201F" w:rsidRPr="00082F7B" w:rsidRDefault="00D7201F" w:rsidP="00D7201F">
      <w:pPr>
        <w:numPr>
          <w:ilvl w:val="0"/>
          <w:numId w:val="24"/>
        </w:numPr>
        <w:suppressAutoHyphens w:val="0"/>
        <w:spacing w:after="0"/>
        <w:jc w:val="both"/>
        <w:rPr>
          <w:rFonts w:asciiTheme="majorHAnsi" w:eastAsia="Times New Roman" w:hAnsiTheme="majorHAnsi" w:cstheme="minorHAnsi"/>
          <w:sz w:val="24"/>
          <w:szCs w:val="24"/>
          <w:lang w:val="sr-Latn-CS"/>
        </w:rPr>
      </w:pPr>
      <w:r w:rsidRPr="00082F7B">
        <w:rPr>
          <w:rFonts w:asciiTheme="majorHAnsi" w:hAnsiTheme="majorHAnsi" w:cstheme="minorHAnsi"/>
          <w:sz w:val="24"/>
          <w:szCs w:val="24"/>
          <w:lang w:val="sr-Latn-CS"/>
        </w:rPr>
        <w:t>K</w:t>
      </w:r>
      <w:r w:rsidRPr="00082F7B">
        <w:rPr>
          <w:rFonts w:asciiTheme="majorHAnsi" w:eastAsia="Times New Roman" w:hAnsiTheme="majorHAnsi" w:cstheme="minorHAnsi"/>
          <w:sz w:val="24"/>
          <w:szCs w:val="24"/>
          <w:lang w:val="sr-Latn-CS"/>
        </w:rPr>
        <w:t>oncesioni akt;</w:t>
      </w:r>
    </w:p>
    <w:p w14:paraId="73674ED9" w14:textId="77777777" w:rsidR="00D7201F" w:rsidRPr="00082F7B" w:rsidRDefault="00D7201F" w:rsidP="00D7201F">
      <w:pPr>
        <w:numPr>
          <w:ilvl w:val="0"/>
          <w:numId w:val="24"/>
        </w:numPr>
        <w:suppressAutoHyphens w:val="0"/>
        <w:spacing w:after="0"/>
        <w:jc w:val="both"/>
        <w:rPr>
          <w:rFonts w:asciiTheme="majorHAnsi" w:eastAsia="Times New Roman" w:hAnsiTheme="majorHAnsi" w:cstheme="minorHAnsi"/>
          <w:sz w:val="24"/>
          <w:szCs w:val="24"/>
          <w:lang w:val="sr-Latn-CS"/>
        </w:rPr>
      </w:pPr>
      <w:r w:rsidRPr="00082F7B">
        <w:rPr>
          <w:rFonts w:asciiTheme="majorHAnsi" w:hAnsiTheme="majorHAnsi" w:cstheme="minorHAnsi"/>
          <w:sz w:val="24"/>
          <w:szCs w:val="24"/>
          <w:lang w:val="sr-Latn-CS"/>
        </w:rPr>
        <w:t>D</w:t>
      </w:r>
      <w:r w:rsidRPr="00082F7B">
        <w:rPr>
          <w:rFonts w:asciiTheme="majorHAnsi" w:eastAsia="Times New Roman" w:hAnsiTheme="majorHAnsi" w:cstheme="minorHAnsi"/>
          <w:sz w:val="24"/>
          <w:szCs w:val="24"/>
          <w:lang w:val="sr-Latn-CS"/>
        </w:rPr>
        <w:t>okumentacija vezana uz ponudu;</w:t>
      </w:r>
    </w:p>
    <w:p w14:paraId="5D48C72D" w14:textId="77777777" w:rsidR="00D7201F" w:rsidRPr="00082F7B" w:rsidRDefault="00D7201F" w:rsidP="00D7201F">
      <w:pPr>
        <w:numPr>
          <w:ilvl w:val="0"/>
          <w:numId w:val="24"/>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J</w:t>
      </w:r>
      <w:r w:rsidRPr="00082F7B">
        <w:rPr>
          <w:rFonts w:asciiTheme="majorHAnsi" w:eastAsia="Times New Roman" w:hAnsiTheme="majorHAnsi" w:cstheme="minorHAnsi"/>
          <w:sz w:val="24"/>
          <w:szCs w:val="24"/>
          <w:lang w:val="sr-Latn-CS"/>
        </w:rPr>
        <w:t>avni oglas;</w:t>
      </w:r>
      <w:r w:rsidRPr="00082F7B">
        <w:rPr>
          <w:rFonts w:asciiTheme="majorHAnsi" w:hAnsiTheme="majorHAnsi" w:cstheme="minorHAnsi"/>
          <w:sz w:val="24"/>
          <w:szCs w:val="24"/>
          <w:lang w:val="sr-Latn-CS"/>
        </w:rPr>
        <w:t xml:space="preserve"> </w:t>
      </w:r>
    </w:p>
    <w:p w14:paraId="4C0DFC5D" w14:textId="77777777" w:rsidR="00D7201F" w:rsidRPr="00082F7B" w:rsidRDefault="00D7201F" w:rsidP="00D7201F">
      <w:pPr>
        <w:numPr>
          <w:ilvl w:val="0"/>
          <w:numId w:val="24"/>
        </w:numPr>
        <w:suppressAutoHyphens w:val="0"/>
        <w:spacing w:after="0"/>
        <w:jc w:val="both"/>
        <w:rPr>
          <w:rFonts w:asciiTheme="majorHAnsi" w:eastAsia="Times New Roman" w:hAnsiTheme="majorHAnsi" w:cstheme="minorHAnsi"/>
          <w:sz w:val="24"/>
          <w:szCs w:val="24"/>
          <w:lang w:val="sr-Latn-CS"/>
        </w:rPr>
      </w:pPr>
      <w:r w:rsidRPr="00082F7B">
        <w:rPr>
          <w:rFonts w:asciiTheme="majorHAnsi" w:hAnsiTheme="majorHAnsi" w:cstheme="minorHAnsi"/>
          <w:sz w:val="24"/>
          <w:szCs w:val="24"/>
          <w:lang w:val="sr-Latn-CS"/>
        </w:rPr>
        <w:t>Uputstvo za podnošenje ponuda i</w:t>
      </w:r>
    </w:p>
    <w:p w14:paraId="4F974EA8" w14:textId="77777777" w:rsidR="00D7201F" w:rsidRPr="00082F7B" w:rsidRDefault="00D7201F" w:rsidP="00D7201F">
      <w:pPr>
        <w:numPr>
          <w:ilvl w:val="0"/>
          <w:numId w:val="24"/>
        </w:numPr>
        <w:suppressAutoHyphens w:val="0"/>
        <w:spacing w:after="0"/>
        <w:jc w:val="both"/>
        <w:rPr>
          <w:rFonts w:asciiTheme="majorHAnsi" w:eastAsia="Times New Roman" w:hAnsiTheme="majorHAnsi" w:cstheme="minorHAnsi"/>
          <w:sz w:val="24"/>
          <w:szCs w:val="24"/>
          <w:lang w:val="sr-Latn-CS"/>
        </w:rPr>
      </w:pPr>
      <w:r w:rsidRPr="00082F7B">
        <w:rPr>
          <w:rFonts w:asciiTheme="majorHAnsi" w:hAnsiTheme="majorHAnsi" w:cstheme="minorHAnsi"/>
          <w:sz w:val="24"/>
          <w:szCs w:val="24"/>
          <w:lang w:val="sr-Latn-CS"/>
        </w:rPr>
        <w:t>N</w:t>
      </w:r>
      <w:r w:rsidRPr="00082F7B">
        <w:rPr>
          <w:rFonts w:asciiTheme="majorHAnsi" w:eastAsia="Times New Roman" w:hAnsiTheme="majorHAnsi" w:cstheme="minorHAnsi"/>
          <w:sz w:val="24"/>
          <w:szCs w:val="24"/>
          <w:lang w:val="sr-Latn-CS"/>
        </w:rPr>
        <w:t>acrt ugovora o koncesiji.</w:t>
      </w:r>
      <w:bookmarkStart w:id="184" w:name="_Toc390549928"/>
    </w:p>
    <w:p w14:paraId="7AB158D2" w14:textId="77777777" w:rsidR="00D7201F" w:rsidRPr="00082F7B" w:rsidRDefault="00D7201F" w:rsidP="00D7201F">
      <w:pPr>
        <w:pStyle w:val="Heading2"/>
        <w:numPr>
          <w:ilvl w:val="0"/>
          <w:numId w:val="0"/>
        </w:numPr>
        <w:rPr>
          <w:rFonts w:asciiTheme="majorHAnsi" w:hAnsiTheme="majorHAnsi"/>
          <w:szCs w:val="24"/>
        </w:rPr>
      </w:pPr>
      <w:bookmarkStart w:id="185" w:name="_Toc401959458"/>
      <w:bookmarkStart w:id="186" w:name="_Toc401959551"/>
      <w:bookmarkStart w:id="187" w:name="_Toc435529039"/>
      <w:bookmarkStart w:id="188" w:name="_Toc436124916"/>
    </w:p>
    <w:p w14:paraId="00A96FAC"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89" w:name="_Toc459633568"/>
      <w:r w:rsidRPr="00082F7B">
        <w:rPr>
          <w:rFonts w:asciiTheme="majorHAnsi" w:hAnsiTheme="majorHAnsi"/>
          <w:szCs w:val="24"/>
        </w:rPr>
        <w:t>Dokumentacija koja se prilaže uz ponudu</w:t>
      </w:r>
      <w:bookmarkEnd w:id="184"/>
      <w:bookmarkEnd w:id="185"/>
      <w:bookmarkEnd w:id="186"/>
      <w:bookmarkEnd w:id="187"/>
      <w:bookmarkEnd w:id="188"/>
      <w:bookmarkEnd w:id="189"/>
    </w:p>
    <w:p w14:paraId="7F2DC4DD"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Shodno članu 23 Zakona o koncesijama nepodobni da učestvuju na javnom nadmetanju za davanje koncesije su:</w:t>
      </w:r>
    </w:p>
    <w:p w14:paraId="19E65903" w14:textId="77777777" w:rsidR="00D7201F" w:rsidRPr="00082F7B" w:rsidRDefault="00D7201F" w:rsidP="00D7201F">
      <w:pPr>
        <w:pStyle w:val="ListParagraph"/>
        <w:numPr>
          <w:ilvl w:val="0"/>
          <w:numId w:val="25"/>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lastRenderedPageBreak/>
        <w:t>privredna društva, druga pravna lica i preduzetnici nad kojima je pokrenut postupak stečaja ili likvidacije, osim postupka reorganizacije u skladu sa zakonom kojim je uređena insolventnost privrednih društava;</w:t>
      </w:r>
    </w:p>
    <w:p w14:paraId="34F1775F" w14:textId="77777777" w:rsidR="00D7201F" w:rsidRPr="00082F7B" w:rsidRDefault="00D7201F" w:rsidP="00D7201F">
      <w:pPr>
        <w:pStyle w:val="ListParagraph"/>
        <w:numPr>
          <w:ilvl w:val="0"/>
          <w:numId w:val="25"/>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privredna društva, druga pravna lica, preduzetnici i fizička lica koja su pravosnažnom presudom osuđena za krivično djelo izvršeno u vršenju profesionalne djelatnosti;</w:t>
      </w:r>
    </w:p>
    <w:p w14:paraId="2E7D4297" w14:textId="77777777" w:rsidR="00D7201F" w:rsidRPr="00082F7B" w:rsidRDefault="00D7201F" w:rsidP="00D7201F">
      <w:pPr>
        <w:pStyle w:val="ListParagraph"/>
        <w:numPr>
          <w:ilvl w:val="0"/>
          <w:numId w:val="25"/>
        </w:numPr>
        <w:suppressAutoHyphens w:val="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privredna društva, druga pravna lica, preduzetnici i fizička lica koja imaju neizmirene poreske obaveze i obaveze po osnovu kazni izrečenih u krivičnom ili prekršajnom postupku, u periodu od najmanje tri godine prije objavljivanja javnog oglasa.</w:t>
      </w:r>
    </w:p>
    <w:p w14:paraId="167074D9" w14:textId="77777777" w:rsidR="00D7201F" w:rsidRPr="00082F7B" w:rsidRDefault="00D7201F" w:rsidP="00D7201F">
      <w:pPr>
        <w:jc w:val="both"/>
        <w:rPr>
          <w:rFonts w:asciiTheme="majorHAnsi" w:hAnsiTheme="majorHAnsi"/>
          <w:sz w:val="24"/>
          <w:szCs w:val="24"/>
          <w:lang w:val="sr-Latn-CS"/>
        </w:rPr>
      </w:pPr>
      <w:r w:rsidRPr="00082F7B">
        <w:rPr>
          <w:rFonts w:asciiTheme="majorHAnsi" w:hAnsiTheme="majorHAnsi" w:cstheme="minorHAnsi"/>
          <w:sz w:val="24"/>
          <w:szCs w:val="24"/>
          <w:lang w:val="sr-Latn-CS"/>
        </w:rPr>
        <w:t>S tim u vezi, u cilju dokazivanja da je ponuđač podoban da učestvuje u postupku javog nadmetanja, neophodno je dostaviti sljedeću dokumentaciju:</w:t>
      </w:r>
    </w:p>
    <w:p w14:paraId="733F6213" w14:textId="77777777" w:rsidR="00D7201F" w:rsidRPr="00082F7B" w:rsidRDefault="00D7201F" w:rsidP="00D7201F">
      <w:pPr>
        <w:numPr>
          <w:ilvl w:val="0"/>
          <w:numId w:val="31"/>
        </w:numPr>
        <w:suppressAutoHyphens w:val="0"/>
        <w:spacing w:after="0"/>
        <w:jc w:val="both"/>
        <w:rPr>
          <w:rFonts w:asciiTheme="majorHAnsi" w:eastAsia="Times New Roman" w:hAnsiTheme="majorHAnsi"/>
          <w:sz w:val="24"/>
          <w:szCs w:val="24"/>
          <w:lang w:val="sr-Latn-CS"/>
        </w:rPr>
      </w:pPr>
      <w:r w:rsidRPr="00082F7B">
        <w:rPr>
          <w:rFonts w:asciiTheme="majorHAnsi" w:eastAsia="Times New Roman" w:hAnsiTheme="majorHAnsi"/>
          <w:sz w:val="24"/>
          <w:szCs w:val="24"/>
          <w:lang w:val="sr-Latn-CS"/>
        </w:rPr>
        <w:t>Izvod iz sudskog, ili drugog odgovarajućeg registra države u kojoj ponuđač ima sjedište;</w:t>
      </w:r>
    </w:p>
    <w:p w14:paraId="61A26A69" w14:textId="77777777" w:rsidR="00D7201F" w:rsidRPr="00082F7B" w:rsidRDefault="00D7201F" w:rsidP="00D7201F">
      <w:pPr>
        <w:numPr>
          <w:ilvl w:val="0"/>
          <w:numId w:val="32"/>
        </w:numPr>
        <w:suppressAutoHyphens w:val="0"/>
        <w:spacing w:after="0"/>
        <w:jc w:val="both"/>
        <w:rPr>
          <w:rFonts w:asciiTheme="majorHAnsi" w:eastAsia="Times New Roman" w:hAnsiTheme="majorHAnsi"/>
          <w:sz w:val="24"/>
          <w:szCs w:val="24"/>
          <w:lang w:val="sr-Latn-CS"/>
        </w:rPr>
      </w:pPr>
      <w:r w:rsidRPr="00082F7B">
        <w:rPr>
          <w:rFonts w:asciiTheme="majorHAnsi" w:eastAsia="Times New Roman" w:hAnsiTheme="majorHAnsi"/>
          <w:sz w:val="24"/>
          <w:szCs w:val="24"/>
          <w:lang w:val="sr-Latn-CS"/>
        </w:rPr>
        <w:t>dokaz da protiv privrednog društva, drugog pravnog lica i preduzetnika nije pokrenut postupak stečaja ili likvidacije - dokaz/potvrdu izdaje Privredni sud;</w:t>
      </w:r>
    </w:p>
    <w:p w14:paraId="2ED9338F" w14:textId="77777777" w:rsidR="00D7201F" w:rsidRPr="00082F7B" w:rsidRDefault="00D7201F" w:rsidP="00D7201F">
      <w:pPr>
        <w:numPr>
          <w:ilvl w:val="0"/>
          <w:numId w:val="32"/>
        </w:numPr>
        <w:suppressAutoHyphens w:val="0"/>
        <w:spacing w:after="0"/>
        <w:jc w:val="both"/>
        <w:rPr>
          <w:rFonts w:asciiTheme="majorHAnsi" w:eastAsia="Times New Roman" w:hAnsiTheme="majorHAnsi"/>
          <w:sz w:val="24"/>
          <w:szCs w:val="24"/>
          <w:lang w:val="sr-Latn-CS"/>
        </w:rPr>
      </w:pPr>
      <w:r w:rsidRPr="00082F7B">
        <w:rPr>
          <w:rFonts w:asciiTheme="majorHAnsi" w:eastAsia="Times New Roman" w:hAnsiTheme="majorHAnsi"/>
          <w:sz w:val="24"/>
          <w:szCs w:val="24"/>
          <w:lang w:val="sr-Latn-CS"/>
        </w:rPr>
        <w:t>dokaz da privredno društvo, drugo pravno lice, preduzetnik i fizičko lice nije pravosnažno osuđeno za krivično djelo izvršeno u vršenju profesionalne djelatnosti – dokaz/potvrdu izdaje Centralni registar privrednih subjekata Poreske uprave za privredna društva, druga pravna lica i preduzetnike, a za fizička lica dokaz/potvrdu izdaje nadležni Osnovni sud;</w:t>
      </w:r>
    </w:p>
    <w:p w14:paraId="5D9BC0A0" w14:textId="77777777" w:rsidR="00D7201F" w:rsidRPr="00082F7B" w:rsidRDefault="00D7201F" w:rsidP="00D7201F">
      <w:pPr>
        <w:numPr>
          <w:ilvl w:val="0"/>
          <w:numId w:val="32"/>
        </w:numPr>
        <w:suppressAutoHyphens w:val="0"/>
        <w:spacing w:after="0"/>
        <w:jc w:val="both"/>
        <w:rPr>
          <w:rFonts w:asciiTheme="majorHAnsi" w:eastAsia="Times New Roman" w:hAnsiTheme="majorHAnsi"/>
          <w:sz w:val="24"/>
          <w:szCs w:val="24"/>
          <w:lang w:val="sr-Latn-CS"/>
        </w:rPr>
      </w:pPr>
      <w:r w:rsidRPr="00082F7B">
        <w:rPr>
          <w:rFonts w:asciiTheme="majorHAnsi" w:eastAsia="Times New Roman" w:hAnsiTheme="majorHAnsi"/>
          <w:sz w:val="24"/>
          <w:szCs w:val="24"/>
          <w:lang w:val="sr-Latn-CS"/>
        </w:rPr>
        <w:t>dokaz da je privredno društvo, drugo pravno lice, preduzetnik i fizičko lice izmirilo obaveze po osnovu plaćanja poreza – dokaz/potvrda se izdaje od poreskog organa uprave u kojem je naznačeno da su izmirene obaveze po osnovu poreza;</w:t>
      </w:r>
    </w:p>
    <w:p w14:paraId="3B39A57F" w14:textId="77777777" w:rsidR="00D7201F" w:rsidRPr="00082F7B" w:rsidRDefault="00D7201F" w:rsidP="00D7201F">
      <w:pPr>
        <w:numPr>
          <w:ilvl w:val="0"/>
          <w:numId w:val="32"/>
        </w:numPr>
        <w:suppressAutoHyphens w:val="0"/>
        <w:jc w:val="both"/>
        <w:rPr>
          <w:rFonts w:asciiTheme="majorHAnsi" w:eastAsia="Times New Roman" w:hAnsiTheme="majorHAnsi"/>
          <w:sz w:val="24"/>
          <w:szCs w:val="24"/>
          <w:lang w:val="sr-Latn-CS"/>
        </w:rPr>
      </w:pPr>
      <w:r w:rsidRPr="00082F7B">
        <w:rPr>
          <w:rFonts w:asciiTheme="majorHAnsi" w:eastAsia="Times New Roman" w:hAnsiTheme="majorHAnsi"/>
          <w:sz w:val="24"/>
          <w:szCs w:val="24"/>
          <w:lang w:val="sr-Latn-CS"/>
        </w:rPr>
        <w:t>dokaz da privredno društvo, drugo pravno lice, preduzetnik i fizičko lice nema neizmirenih obaveza po osnovu kazni izrečenih u krivičnom ili prekršajnom postupku u periodu od najmanje tri godine prije objavljivanja javnog oglasa:</w:t>
      </w:r>
    </w:p>
    <w:p w14:paraId="2D8EDE24" w14:textId="77777777" w:rsidR="00D7201F" w:rsidRPr="00082F7B" w:rsidRDefault="00D7201F" w:rsidP="00D7201F">
      <w:pPr>
        <w:numPr>
          <w:ilvl w:val="0"/>
          <w:numId w:val="33"/>
        </w:numPr>
        <w:suppressAutoHyphens w:val="0"/>
        <w:jc w:val="both"/>
        <w:rPr>
          <w:rFonts w:asciiTheme="majorHAnsi" w:hAnsiTheme="majorHAnsi"/>
          <w:sz w:val="24"/>
          <w:szCs w:val="24"/>
          <w:lang w:val="sr-Latn-CS"/>
        </w:rPr>
      </w:pPr>
      <w:r w:rsidRPr="00082F7B">
        <w:rPr>
          <w:rFonts w:asciiTheme="majorHAnsi" w:hAnsiTheme="majorHAnsi"/>
          <w:sz w:val="24"/>
          <w:szCs w:val="24"/>
          <w:lang w:val="sr-Latn-CS"/>
        </w:rPr>
        <w:t>ponuđač kao privredno društvo, drugo pravno lice i preduzetnik:</w:t>
      </w:r>
    </w:p>
    <w:p w14:paraId="5CECDF39" w14:textId="77777777" w:rsidR="00D7201F" w:rsidRPr="00082F7B" w:rsidRDefault="00D7201F" w:rsidP="00D7201F">
      <w:pPr>
        <w:numPr>
          <w:ilvl w:val="1"/>
          <w:numId w:val="32"/>
        </w:numPr>
        <w:suppressAutoHyphens w:val="0"/>
        <w:spacing w:after="0"/>
        <w:jc w:val="both"/>
        <w:rPr>
          <w:rFonts w:asciiTheme="majorHAnsi" w:hAnsiTheme="majorHAnsi"/>
          <w:sz w:val="24"/>
          <w:szCs w:val="24"/>
          <w:lang w:val="sr-Latn-CS"/>
        </w:rPr>
      </w:pPr>
      <w:r w:rsidRPr="00082F7B">
        <w:rPr>
          <w:rFonts w:asciiTheme="majorHAnsi" w:hAnsiTheme="majorHAnsi"/>
          <w:sz w:val="24"/>
          <w:szCs w:val="24"/>
          <w:lang w:val="sr-Latn-CS"/>
        </w:rPr>
        <w:t>dokaz/potvrda Centralnog registra privrednih subjekata Poreske uprave kojom se dokazuje da se ponuđač ne nalazi u kaznenoj evidenciji istog;</w:t>
      </w:r>
    </w:p>
    <w:p w14:paraId="063C66E0" w14:textId="77777777" w:rsidR="00D7201F" w:rsidRPr="00082F7B" w:rsidRDefault="00D7201F" w:rsidP="00D7201F">
      <w:pPr>
        <w:numPr>
          <w:ilvl w:val="1"/>
          <w:numId w:val="32"/>
        </w:numPr>
        <w:suppressAutoHyphens w:val="0"/>
        <w:jc w:val="both"/>
        <w:rPr>
          <w:rFonts w:asciiTheme="majorHAnsi" w:hAnsiTheme="majorHAnsi"/>
          <w:sz w:val="24"/>
          <w:szCs w:val="24"/>
          <w:lang w:val="sr-Latn-CS"/>
        </w:rPr>
      </w:pPr>
      <w:r w:rsidRPr="00082F7B">
        <w:rPr>
          <w:rFonts w:asciiTheme="majorHAnsi" w:hAnsiTheme="majorHAnsi"/>
          <w:sz w:val="24"/>
          <w:szCs w:val="24"/>
          <w:lang w:val="sr-Latn-CS"/>
        </w:rPr>
        <w:t>dokaz/potvrda područnog organa za prekršaje iz mjesta sjedišta ponuđača ili nadležnog organa, kojom se dokazuje da ponuđač nema neizmirenih obaveza po osnovu kazni izrečenih u prekršajnom postupku;</w:t>
      </w:r>
    </w:p>
    <w:p w14:paraId="564358B2" w14:textId="77777777" w:rsidR="00D7201F" w:rsidRPr="00082F7B" w:rsidRDefault="00D7201F" w:rsidP="00D7201F">
      <w:pPr>
        <w:pStyle w:val="ListParagraph"/>
        <w:numPr>
          <w:ilvl w:val="0"/>
          <w:numId w:val="33"/>
        </w:numPr>
        <w:suppressAutoHyphens w:val="0"/>
        <w:contextualSpacing w:val="0"/>
        <w:jc w:val="both"/>
        <w:rPr>
          <w:rFonts w:asciiTheme="majorHAnsi" w:hAnsiTheme="majorHAnsi"/>
          <w:sz w:val="24"/>
          <w:szCs w:val="24"/>
          <w:lang w:val="sr-Latn-CS"/>
        </w:rPr>
      </w:pPr>
      <w:r w:rsidRPr="00082F7B">
        <w:rPr>
          <w:rFonts w:asciiTheme="majorHAnsi" w:hAnsiTheme="majorHAnsi"/>
          <w:sz w:val="24"/>
          <w:szCs w:val="24"/>
          <w:lang w:val="sr-Latn-CS"/>
        </w:rPr>
        <w:t xml:space="preserve">ponuđač kao fizičko lice: </w:t>
      </w:r>
    </w:p>
    <w:p w14:paraId="70AE7CC7" w14:textId="77777777" w:rsidR="00D7201F" w:rsidRPr="00082F7B" w:rsidRDefault="00D7201F" w:rsidP="00D7201F">
      <w:pPr>
        <w:pStyle w:val="ListParagraph"/>
        <w:numPr>
          <w:ilvl w:val="0"/>
          <w:numId w:val="34"/>
        </w:numPr>
        <w:suppressAutoHyphens w:val="0"/>
        <w:spacing w:after="0"/>
        <w:ind w:left="1440"/>
        <w:contextualSpacing w:val="0"/>
        <w:jc w:val="both"/>
        <w:rPr>
          <w:rFonts w:asciiTheme="majorHAnsi" w:hAnsiTheme="majorHAnsi"/>
          <w:sz w:val="24"/>
          <w:szCs w:val="24"/>
          <w:lang w:val="sr-Latn-CS"/>
        </w:rPr>
      </w:pPr>
      <w:r w:rsidRPr="00082F7B">
        <w:rPr>
          <w:rFonts w:asciiTheme="majorHAnsi" w:hAnsiTheme="majorHAnsi"/>
          <w:sz w:val="24"/>
          <w:szCs w:val="24"/>
          <w:lang w:val="sr-Latn-CS"/>
        </w:rPr>
        <w:lastRenderedPageBreak/>
        <w:t>dokaz/potvrda Ministarstva pravde kojom se dokazuje da je ponuđač izmirio obaveze po osnovu kazni izrečenih u krivičnom postupku;</w:t>
      </w:r>
    </w:p>
    <w:p w14:paraId="70F5CF82" w14:textId="77777777" w:rsidR="00D7201F" w:rsidRPr="00082F7B" w:rsidRDefault="00D7201F" w:rsidP="00D7201F">
      <w:pPr>
        <w:pStyle w:val="ListParagraph"/>
        <w:numPr>
          <w:ilvl w:val="0"/>
          <w:numId w:val="34"/>
        </w:numPr>
        <w:suppressAutoHyphens w:val="0"/>
        <w:ind w:left="1440"/>
        <w:contextualSpacing w:val="0"/>
        <w:jc w:val="both"/>
        <w:rPr>
          <w:rFonts w:asciiTheme="majorHAnsi" w:hAnsiTheme="majorHAnsi"/>
          <w:sz w:val="24"/>
          <w:szCs w:val="24"/>
          <w:lang w:val="sr-Latn-CS"/>
        </w:rPr>
      </w:pPr>
      <w:r w:rsidRPr="00082F7B">
        <w:rPr>
          <w:rFonts w:asciiTheme="majorHAnsi" w:hAnsiTheme="majorHAnsi"/>
          <w:sz w:val="24"/>
          <w:szCs w:val="24"/>
          <w:lang w:val="sr-Latn-CS"/>
        </w:rPr>
        <w:t>dokaz/potvrda Ministarstva pravde kojom se dokazuje da isto nema neizmirenih obaveza po osnovu kazni izrečenih u prekršajnom postupku.</w:t>
      </w:r>
    </w:p>
    <w:p w14:paraId="212699C0" w14:textId="77777777" w:rsidR="00D7201F" w:rsidRPr="00082F7B" w:rsidRDefault="00D7201F" w:rsidP="00D7201F">
      <w:pPr>
        <w:jc w:val="both"/>
        <w:rPr>
          <w:rFonts w:asciiTheme="majorHAnsi" w:hAnsiTheme="majorHAnsi"/>
          <w:sz w:val="24"/>
          <w:szCs w:val="24"/>
          <w:lang w:val="sr-Latn-CS"/>
        </w:rPr>
      </w:pPr>
      <w:r w:rsidRPr="00082F7B">
        <w:rPr>
          <w:rFonts w:asciiTheme="majorHAnsi" w:hAnsiTheme="majorHAnsi"/>
          <w:sz w:val="24"/>
          <w:szCs w:val="24"/>
          <w:lang w:val="sr-Latn-CS"/>
        </w:rPr>
        <w:t>Navedeni dokazi ne smiju biti stariji od devedeset (90) dana od dana objavljivanja oglasa.</w:t>
      </w:r>
    </w:p>
    <w:p w14:paraId="60E52766" w14:textId="77777777" w:rsidR="00D7201F" w:rsidRPr="00082F7B" w:rsidRDefault="00D7201F" w:rsidP="00D7201F">
      <w:pPr>
        <w:jc w:val="both"/>
        <w:rPr>
          <w:rFonts w:asciiTheme="majorHAnsi" w:hAnsiTheme="majorHAnsi"/>
          <w:sz w:val="24"/>
          <w:szCs w:val="24"/>
          <w:lang w:val="sr-Latn-CS"/>
        </w:rPr>
      </w:pPr>
      <w:r w:rsidRPr="00082F7B">
        <w:rPr>
          <w:rFonts w:asciiTheme="majorHAnsi" w:hAnsiTheme="majorHAnsi"/>
          <w:sz w:val="24"/>
          <w:szCs w:val="24"/>
          <w:lang w:val="sr-Latn-CS"/>
        </w:rPr>
        <w:t>Ukoliko država u kojoj ponuđač ima sjedište ne izdaje navedene dokaze, ovi dokazi mogu biti zamijenjeni izjavom ponuđača pod krivičnom i materijalnom odgovornošću, odnosno ukoliko u državi u kojoj je sjedište ponuđača nema zakonskih odredbi koje se tiču izjava pod krivičnom i materijalnom odgovornošću, izjavom datom pred nadležnim sudskim ili upravnim organom ili notarom.</w:t>
      </w:r>
    </w:p>
    <w:p w14:paraId="52256D4A"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Pored navedenog, ponuđač je dužan dostaviti i:</w:t>
      </w:r>
    </w:p>
    <w:p w14:paraId="00DE85AE" w14:textId="77777777" w:rsidR="00D7201F" w:rsidRPr="00082F7B" w:rsidRDefault="00D7201F" w:rsidP="00D7201F">
      <w:pPr>
        <w:pStyle w:val="Default"/>
        <w:widowControl w:val="0"/>
        <w:numPr>
          <w:ilvl w:val="0"/>
          <w:numId w:val="26"/>
        </w:numPr>
        <w:spacing w:line="276" w:lineRule="auto"/>
        <w:rPr>
          <w:rFonts w:asciiTheme="majorHAnsi" w:eastAsiaTheme="minorEastAsia" w:hAnsiTheme="majorHAnsi" w:cstheme="minorHAnsi"/>
          <w:lang w:val="sr-Latn-CS"/>
        </w:rPr>
      </w:pPr>
      <w:r w:rsidRPr="00082F7B">
        <w:rPr>
          <w:rFonts w:asciiTheme="majorHAnsi" w:eastAsiaTheme="minorEastAsia" w:hAnsiTheme="majorHAnsi" w:cstheme="minorHAnsi"/>
          <w:lang w:val="sr-Latn-CS"/>
        </w:rPr>
        <w:t>Bankarsku garanciju ponude u skladu sa Uputstvom za podnošenje ponuda i</w:t>
      </w:r>
    </w:p>
    <w:p w14:paraId="73BB16DC" w14:textId="77777777" w:rsidR="00D7201F" w:rsidRPr="00082F7B" w:rsidRDefault="00D7201F" w:rsidP="00D7201F">
      <w:pPr>
        <w:pStyle w:val="Default"/>
        <w:widowControl w:val="0"/>
        <w:numPr>
          <w:ilvl w:val="0"/>
          <w:numId w:val="26"/>
        </w:numPr>
        <w:spacing w:after="200" w:line="276" w:lineRule="auto"/>
        <w:rPr>
          <w:rFonts w:asciiTheme="majorHAnsi" w:eastAsiaTheme="minorEastAsia" w:hAnsiTheme="majorHAnsi" w:cstheme="minorHAnsi"/>
          <w:lang w:val="sr-Latn-CS"/>
        </w:rPr>
      </w:pPr>
      <w:r w:rsidRPr="00082F7B">
        <w:rPr>
          <w:rFonts w:asciiTheme="majorHAnsi" w:eastAsiaTheme="minorEastAsia" w:hAnsiTheme="majorHAnsi" w:cstheme="minorHAnsi"/>
          <w:lang w:val="sr-Latn-CS"/>
        </w:rPr>
        <w:t>Popunjeni Obrazac iz Uputstva za podnošenje ponuda.</w:t>
      </w:r>
    </w:p>
    <w:p w14:paraId="6B68EE08" w14:textId="77777777" w:rsidR="00D7201F" w:rsidRPr="00082F7B" w:rsidRDefault="00D7201F" w:rsidP="00D7201F">
      <w:pPr>
        <w:pStyle w:val="Default"/>
        <w:spacing w:after="200" w:line="276" w:lineRule="auto"/>
        <w:jc w:val="both"/>
        <w:rPr>
          <w:rFonts w:asciiTheme="majorHAnsi" w:hAnsiTheme="majorHAnsi" w:cstheme="minorHAnsi"/>
          <w:lang w:val="sr-Latn-CS"/>
        </w:rPr>
      </w:pPr>
      <w:r w:rsidRPr="00082F7B">
        <w:rPr>
          <w:rFonts w:asciiTheme="majorHAnsi" w:eastAsiaTheme="minorEastAsia" w:hAnsiTheme="majorHAnsi" w:cstheme="minorHAnsi"/>
          <w:lang w:val="sr-Latn-CS"/>
        </w:rPr>
        <w:t xml:space="preserve">U slučaju da Ponuđač nastupa kao konzorcijum kompanija, onda je za svakog člana konzorcijuma neophodno dostaviti dokaze kojima se potvrđuje da je član </w:t>
      </w:r>
      <w:r w:rsidRPr="00082F7B">
        <w:rPr>
          <w:rFonts w:asciiTheme="majorHAnsi" w:hAnsiTheme="majorHAnsi" w:cstheme="minorHAnsi"/>
          <w:lang w:val="sr-Latn-CS"/>
        </w:rPr>
        <w:t>podoban da učestvuje u postupku javog nadmetanja, kao i ugovor o konzorcijumu, koji izričito predviđa:</w:t>
      </w:r>
    </w:p>
    <w:p w14:paraId="338094E1" w14:textId="77777777" w:rsidR="00D7201F" w:rsidRPr="00082F7B" w:rsidRDefault="00D7201F" w:rsidP="00D7201F">
      <w:pPr>
        <w:pStyle w:val="Default"/>
        <w:widowControl w:val="0"/>
        <w:numPr>
          <w:ilvl w:val="0"/>
          <w:numId w:val="27"/>
        </w:numPr>
        <w:spacing w:line="276" w:lineRule="auto"/>
        <w:rPr>
          <w:rFonts w:asciiTheme="majorHAnsi" w:hAnsiTheme="majorHAnsi" w:cstheme="minorHAnsi"/>
          <w:lang w:val="sr-Latn-CS"/>
        </w:rPr>
      </w:pPr>
      <w:r w:rsidRPr="00082F7B">
        <w:rPr>
          <w:rFonts w:asciiTheme="majorHAnsi" w:hAnsiTheme="majorHAnsi" w:cstheme="minorHAnsi"/>
          <w:lang w:val="sr-Latn-CS"/>
        </w:rPr>
        <w:t xml:space="preserve">da će svi članovi konzorcijuma biti solidarno odgovorni za izvršenje Ugovora u skladu sa njegovim uslovima; </w:t>
      </w:r>
    </w:p>
    <w:p w14:paraId="66DC4BD6" w14:textId="77777777" w:rsidR="00D7201F" w:rsidRPr="00082F7B" w:rsidRDefault="00D7201F" w:rsidP="00D7201F">
      <w:pPr>
        <w:pStyle w:val="Default"/>
        <w:widowControl w:val="0"/>
        <w:numPr>
          <w:ilvl w:val="0"/>
          <w:numId w:val="27"/>
        </w:numPr>
        <w:spacing w:line="276" w:lineRule="auto"/>
        <w:rPr>
          <w:rFonts w:asciiTheme="majorHAnsi" w:hAnsiTheme="majorHAnsi" w:cstheme="minorHAnsi"/>
          <w:lang w:val="sr-Latn-CS"/>
        </w:rPr>
      </w:pPr>
      <w:r w:rsidRPr="00082F7B">
        <w:rPr>
          <w:rFonts w:asciiTheme="majorHAnsi" w:hAnsiTheme="majorHAnsi" w:cstheme="minorHAnsi"/>
          <w:lang w:val="sr-Latn-CS"/>
        </w:rPr>
        <w:t>procenat učešća u konzorcijumu;</w:t>
      </w:r>
    </w:p>
    <w:p w14:paraId="2C563140" w14:textId="77777777" w:rsidR="00D7201F" w:rsidRPr="00082F7B" w:rsidRDefault="00D7201F" w:rsidP="00D7201F">
      <w:pPr>
        <w:pStyle w:val="Default"/>
        <w:widowControl w:val="0"/>
        <w:numPr>
          <w:ilvl w:val="0"/>
          <w:numId w:val="27"/>
        </w:numPr>
        <w:spacing w:line="276" w:lineRule="auto"/>
        <w:rPr>
          <w:rFonts w:asciiTheme="majorHAnsi" w:hAnsiTheme="majorHAnsi" w:cstheme="minorHAnsi"/>
          <w:lang w:val="sr-Latn-CS"/>
        </w:rPr>
      </w:pPr>
      <w:r w:rsidRPr="00082F7B">
        <w:rPr>
          <w:rFonts w:asciiTheme="majorHAnsi" w:hAnsiTheme="majorHAnsi" w:cstheme="minorHAnsi"/>
          <w:lang w:val="sr-Latn-CS"/>
        </w:rPr>
        <w:t xml:space="preserve">obaveze svakog člana konzorcijuma i </w:t>
      </w:r>
    </w:p>
    <w:p w14:paraId="01AC3C4B" w14:textId="77777777" w:rsidR="00D7201F" w:rsidRPr="00082F7B" w:rsidRDefault="00D7201F" w:rsidP="00D7201F">
      <w:pPr>
        <w:pStyle w:val="Default"/>
        <w:widowControl w:val="0"/>
        <w:numPr>
          <w:ilvl w:val="0"/>
          <w:numId w:val="27"/>
        </w:numPr>
        <w:spacing w:line="276" w:lineRule="auto"/>
        <w:rPr>
          <w:rFonts w:asciiTheme="majorHAnsi" w:hAnsiTheme="majorHAnsi" w:cstheme="minorHAnsi"/>
          <w:lang w:val="sr-Latn-CS"/>
        </w:rPr>
      </w:pPr>
      <w:r w:rsidRPr="00082F7B">
        <w:rPr>
          <w:rFonts w:asciiTheme="majorHAnsi" w:hAnsiTheme="majorHAnsi" w:cstheme="minorHAnsi"/>
          <w:lang w:val="sr-Latn-CS"/>
        </w:rPr>
        <w:t xml:space="preserve">ovlašćenje jednog člana koji će istupati u ime konzorcijuma. </w:t>
      </w:r>
    </w:p>
    <w:p w14:paraId="4791CD22" w14:textId="77777777" w:rsidR="00D7201F" w:rsidRPr="00082F7B" w:rsidRDefault="00D7201F" w:rsidP="00D7201F">
      <w:pPr>
        <w:pStyle w:val="Default"/>
        <w:spacing w:line="276" w:lineRule="auto"/>
        <w:rPr>
          <w:rFonts w:asciiTheme="majorHAnsi" w:hAnsiTheme="majorHAnsi" w:cstheme="minorHAnsi"/>
          <w:lang w:val="sr-Latn-CS"/>
        </w:rPr>
      </w:pPr>
    </w:p>
    <w:p w14:paraId="3F775A8F" w14:textId="77777777" w:rsidR="00D7201F" w:rsidRPr="00082F7B" w:rsidRDefault="00D7201F" w:rsidP="00D7201F">
      <w:pPr>
        <w:pStyle w:val="Default"/>
        <w:spacing w:after="200" w:line="276" w:lineRule="auto"/>
        <w:jc w:val="both"/>
        <w:rPr>
          <w:rFonts w:asciiTheme="majorHAnsi" w:hAnsiTheme="majorHAnsi" w:cstheme="minorHAnsi"/>
          <w:lang w:val="sr-Latn-CS"/>
        </w:rPr>
      </w:pPr>
      <w:r w:rsidRPr="00082F7B">
        <w:rPr>
          <w:rFonts w:asciiTheme="majorHAnsi" w:hAnsiTheme="majorHAnsi" w:cstheme="minorHAnsi"/>
          <w:lang w:val="sr-Latn-CS"/>
        </w:rPr>
        <w:t>Vlasnička struktura u koncesionom društvu mora odgovarati procentu učešća članova u konzorcijumu utvđenom prilikom podnošenja ponude i ista se ne može mijenjati bez saglasnosti koncedenta.</w:t>
      </w:r>
    </w:p>
    <w:p w14:paraId="60D9FC2F" w14:textId="77777777" w:rsidR="00D7201F" w:rsidRPr="00082F7B" w:rsidRDefault="00D7201F" w:rsidP="00D7201F">
      <w:pPr>
        <w:pStyle w:val="Default"/>
        <w:spacing w:line="276" w:lineRule="auto"/>
        <w:jc w:val="both"/>
        <w:rPr>
          <w:rFonts w:asciiTheme="majorHAnsi" w:hAnsiTheme="majorHAnsi" w:cstheme="minorHAnsi"/>
          <w:lang w:val="sr-Latn-CS"/>
        </w:rPr>
      </w:pPr>
    </w:p>
    <w:p w14:paraId="25AC87EB"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90" w:name="_Toc390549929"/>
      <w:bookmarkStart w:id="191" w:name="_Toc401959459"/>
      <w:bookmarkStart w:id="192" w:name="_Toc401959552"/>
      <w:bookmarkStart w:id="193" w:name="_Toc435529040"/>
      <w:bookmarkStart w:id="194" w:name="_Toc436124917"/>
      <w:bookmarkStart w:id="195" w:name="_Toc459633569"/>
      <w:r w:rsidRPr="00082F7B">
        <w:rPr>
          <w:rFonts w:asciiTheme="majorHAnsi" w:hAnsiTheme="majorHAnsi"/>
          <w:szCs w:val="24"/>
        </w:rPr>
        <w:t>Javni oglas</w:t>
      </w:r>
      <w:bookmarkEnd w:id="190"/>
      <w:bookmarkEnd w:id="191"/>
      <w:bookmarkEnd w:id="192"/>
      <w:bookmarkEnd w:id="193"/>
      <w:bookmarkEnd w:id="194"/>
      <w:bookmarkEnd w:id="195"/>
    </w:p>
    <w:p w14:paraId="66E70AF9" w14:textId="77777777" w:rsidR="00D7201F" w:rsidRPr="00082F7B" w:rsidRDefault="00D7201F" w:rsidP="00D7201F">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Javni oglas, u skladu sa članom 21 Zakona o koncesijama, objavljuje se u “Službenom listu Crne Gore”, najmanje u jednom dnevnom štampanom mediju koji se distribuira na teritoriji cijele Crne Gore i na Internet stranici nadležnog organa, odnosno, u ovom slučaju Ministarstva ekonomije.</w:t>
      </w:r>
    </w:p>
    <w:p w14:paraId="489CF309" w14:textId="77777777" w:rsidR="00D7201F" w:rsidRPr="00082F7B" w:rsidRDefault="00D7201F" w:rsidP="00D7201F">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lastRenderedPageBreak/>
        <w:t>Javni oglas za dodjelu predmetne koncesije sadrži sljedeće:</w:t>
      </w:r>
    </w:p>
    <w:p w14:paraId="48246E6B"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opis predmeta koncesije, granice istražno-eksploatacionog prostora;</w:t>
      </w:r>
    </w:p>
    <w:p w14:paraId="38ACEA05"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osnovne elemente Koncesionog akta;</w:t>
      </w:r>
    </w:p>
    <w:p w14:paraId="5C9A91EA"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adresu i rok za dostavljanje ponude na Javni oglas (rok se određuje prema periodu za pripremu ponude i teče od dana objavljivanja javnog oglasa u „Službenom listu Crne Gore“ i ne može biti kraći od 30 dana);</w:t>
      </w:r>
    </w:p>
    <w:p w14:paraId="30DC9E84"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kriterijume za učešće na Javnom oglasu i mogućnost podnošenja zajedničke ponude;</w:t>
      </w:r>
    </w:p>
    <w:p w14:paraId="1ABA05FF"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pravila prema kojima se Javni oglas sprovodi;</w:t>
      </w:r>
    </w:p>
    <w:p w14:paraId="6D84CB85"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način dostavljanja ponude;</w:t>
      </w:r>
    </w:p>
    <w:p w14:paraId="1A809CE3"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moguće vrijeme posjete lokacije na kojoj će se vršiti koncesiona djelatnost;</w:t>
      </w:r>
    </w:p>
    <w:p w14:paraId="530F75C6"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datum, vrijeme i mjesto otvaranja prispjelih ponuda na Javni oglas;</w:t>
      </w:r>
    </w:p>
    <w:p w14:paraId="13260772"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rok u kome se ponuda na Javni oglas može povući;</w:t>
      </w:r>
    </w:p>
    <w:p w14:paraId="34F86413"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određivanje vrste ponude (tehničke i finansijske ili samo finansijske ponude);</w:t>
      </w:r>
    </w:p>
    <w:p w14:paraId="38240791"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podatke o visini i obliku depozita i garancije i perioda za koji se traže;</w:t>
      </w:r>
    </w:p>
    <w:p w14:paraId="59431745"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uslove, rok i način vraćanja depozita i garancije;</w:t>
      </w:r>
    </w:p>
    <w:p w14:paraId="7DE0AAD9" w14:textId="77777777" w:rsidR="00D7201F" w:rsidRPr="00082F7B" w:rsidRDefault="00D7201F" w:rsidP="00D7201F">
      <w:pPr>
        <w:numPr>
          <w:ilvl w:val="0"/>
          <w:numId w:val="28"/>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ime lica zaduženog za davanje relevantnih informacija u postupku Javnog oglasa;</w:t>
      </w:r>
    </w:p>
    <w:p w14:paraId="2F073F8B" w14:textId="77777777" w:rsidR="00D7201F" w:rsidRPr="00082F7B" w:rsidRDefault="00D7201F" w:rsidP="00D7201F">
      <w:pPr>
        <w:numPr>
          <w:ilvl w:val="0"/>
          <w:numId w:val="28"/>
        </w:numPr>
        <w:suppressAutoHyphens w:val="0"/>
        <w:spacing w:after="0"/>
        <w:jc w:val="both"/>
        <w:rPr>
          <w:rFonts w:asciiTheme="majorHAnsi" w:hAnsiTheme="majorHAnsi" w:cstheme="minorHAnsi"/>
          <w:sz w:val="24"/>
          <w:szCs w:val="24"/>
          <w:lang w:val="sr-Latn-CS"/>
        </w:rPr>
      </w:pPr>
      <w:r w:rsidRPr="00082F7B">
        <w:rPr>
          <w:rFonts w:asciiTheme="majorHAnsi" w:eastAsia="Times New Roman" w:hAnsiTheme="majorHAnsi" w:cstheme="minorHAnsi"/>
          <w:sz w:val="24"/>
          <w:szCs w:val="24"/>
          <w:lang w:val="sr-Latn-CS"/>
        </w:rPr>
        <w:t>mjesto na kojem se može i vrijeme u kojem se može preuzeti Koncesioni akt i Tenderska dokumentacija, kao i cijena Tenderske dokumentacije u visini troškova njene izrade.</w:t>
      </w:r>
    </w:p>
    <w:p w14:paraId="441D82F3" w14:textId="77777777" w:rsidR="00D7201F" w:rsidRPr="00082F7B" w:rsidRDefault="00D7201F" w:rsidP="00D7201F">
      <w:pPr>
        <w:spacing w:after="0"/>
        <w:ind w:left="720"/>
        <w:jc w:val="both"/>
        <w:rPr>
          <w:rFonts w:asciiTheme="majorHAnsi" w:eastAsia="Times New Roman" w:hAnsiTheme="majorHAnsi" w:cstheme="minorHAnsi"/>
          <w:sz w:val="24"/>
          <w:szCs w:val="24"/>
          <w:lang w:val="sr-Latn-CS"/>
        </w:rPr>
      </w:pPr>
    </w:p>
    <w:p w14:paraId="3B357ABF" w14:textId="77777777" w:rsidR="00D7201F" w:rsidRPr="00082F7B" w:rsidRDefault="00D7201F" w:rsidP="00D7201F">
      <w:pPr>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Javni oglas, nakon objavljivanja, nadležni organ može izmijeniti, osim elemenata utvrđenih Koncesionim aktom. Izmjena Javnog oglasa se objavljuje na način na koji je objavljen osnovni tekst Javnog oglasa, s tim što se rok za dostavljanje ponuda produžava za vrijeme koje je proteklo od dana objavljivanja Javnog oglasa.</w:t>
      </w:r>
      <w:bookmarkStart w:id="196" w:name="_Toc390549930"/>
    </w:p>
    <w:p w14:paraId="0DB2BC65"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197" w:name="_Toc401959460"/>
      <w:bookmarkStart w:id="198" w:name="_Toc401959553"/>
      <w:bookmarkStart w:id="199" w:name="_Toc435529041"/>
      <w:bookmarkStart w:id="200" w:name="_Toc436124918"/>
      <w:bookmarkStart w:id="201" w:name="_Toc459633570"/>
      <w:r w:rsidRPr="00082F7B">
        <w:rPr>
          <w:rFonts w:asciiTheme="majorHAnsi" w:hAnsiTheme="majorHAnsi"/>
          <w:szCs w:val="24"/>
        </w:rPr>
        <w:t>Ugovor o koncesiji</w:t>
      </w:r>
      <w:bookmarkEnd w:id="196"/>
      <w:bookmarkEnd w:id="197"/>
      <w:bookmarkEnd w:id="198"/>
      <w:bookmarkEnd w:id="199"/>
      <w:bookmarkEnd w:id="200"/>
      <w:bookmarkEnd w:id="201"/>
    </w:p>
    <w:p w14:paraId="1CF21B5A"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eastAsia="Times New Roman" w:hAnsiTheme="majorHAnsi" w:cstheme="minorHAnsi"/>
          <w:sz w:val="24"/>
          <w:szCs w:val="24"/>
          <w:lang w:val="sr-Latn-CS"/>
        </w:rPr>
        <w:t>Sastavni dio Tenederske dokumentacije je i Nacrt</w:t>
      </w:r>
      <w:r w:rsidRPr="00082F7B">
        <w:rPr>
          <w:rFonts w:asciiTheme="majorHAnsi" w:hAnsiTheme="majorHAnsi" w:cstheme="minorHAnsi"/>
          <w:sz w:val="24"/>
          <w:szCs w:val="24"/>
          <w:lang w:val="sr-Latn-CS"/>
        </w:rPr>
        <w:t xml:space="preserve"> ugovora o koncesiji, koji je dat kao Prilog Koncesionog akta.</w:t>
      </w:r>
    </w:p>
    <w:p w14:paraId="0F100911" w14:textId="77777777" w:rsidR="00D7201F" w:rsidRPr="00082F7B" w:rsidRDefault="00D7201F" w:rsidP="00D7201F">
      <w:pPr>
        <w:pStyle w:val="Heading2"/>
        <w:keepLines/>
        <w:tabs>
          <w:tab w:val="left" w:pos="1080"/>
        </w:tabs>
        <w:suppressAutoHyphens w:val="0"/>
        <w:spacing w:before="0" w:after="200"/>
        <w:rPr>
          <w:rFonts w:asciiTheme="majorHAnsi" w:hAnsiTheme="majorHAnsi"/>
          <w:szCs w:val="24"/>
        </w:rPr>
      </w:pPr>
      <w:bookmarkStart w:id="202" w:name="_Toc390549931"/>
      <w:bookmarkStart w:id="203" w:name="_Toc401959461"/>
      <w:bookmarkStart w:id="204" w:name="_Toc401959554"/>
      <w:bookmarkStart w:id="205" w:name="_Toc435529042"/>
      <w:bookmarkStart w:id="206" w:name="_Toc436124919"/>
      <w:bookmarkStart w:id="207" w:name="_Toc459633571"/>
      <w:r w:rsidRPr="00082F7B">
        <w:rPr>
          <w:rFonts w:asciiTheme="majorHAnsi" w:hAnsiTheme="majorHAnsi"/>
          <w:szCs w:val="24"/>
        </w:rPr>
        <w:t>Uputstvo za podnošenje ponuda</w:t>
      </w:r>
      <w:bookmarkEnd w:id="202"/>
      <w:bookmarkEnd w:id="203"/>
      <w:bookmarkEnd w:id="204"/>
      <w:bookmarkEnd w:id="205"/>
      <w:bookmarkEnd w:id="206"/>
      <w:bookmarkEnd w:id="207"/>
    </w:p>
    <w:p w14:paraId="75387B95" w14:textId="77777777" w:rsidR="00D7201F" w:rsidRPr="00082F7B" w:rsidRDefault="00D7201F" w:rsidP="00D7201F">
      <w:pPr>
        <w:jc w:val="both"/>
        <w:rPr>
          <w:rFonts w:asciiTheme="majorHAnsi" w:hAnsiTheme="majorHAnsi" w:cstheme="minorHAnsi"/>
          <w:sz w:val="24"/>
          <w:szCs w:val="24"/>
          <w:lang w:val="sr-Latn-CS"/>
        </w:rPr>
      </w:pPr>
      <w:r w:rsidRPr="00082F7B">
        <w:rPr>
          <w:rFonts w:asciiTheme="majorHAnsi" w:eastAsia="Times New Roman" w:hAnsiTheme="majorHAnsi" w:cstheme="minorHAnsi"/>
          <w:sz w:val="24"/>
          <w:szCs w:val="24"/>
          <w:lang w:val="sr-Latn-CS"/>
        </w:rPr>
        <w:t xml:space="preserve">Sastavni dio Tenederske dokumentacije je i </w:t>
      </w:r>
      <w:r w:rsidRPr="00082F7B">
        <w:rPr>
          <w:rFonts w:asciiTheme="majorHAnsi" w:hAnsiTheme="majorHAnsi" w:cstheme="minorHAnsi"/>
          <w:sz w:val="24"/>
          <w:szCs w:val="24"/>
          <w:lang w:val="sr-Latn-CS"/>
        </w:rPr>
        <w:t>Uputstvo za podnošenje ponuda, koji je dato kao Prilog Koncesionog akta.</w:t>
      </w:r>
    </w:p>
    <w:p w14:paraId="12E9FBFE" w14:textId="77777777" w:rsidR="00D7201F" w:rsidRPr="00082F7B" w:rsidRDefault="00D7201F" w:rsidP="00D7201F">
      <w:pPr>
        <w:jc w:val="both"/>
        <w:rPr>
          <w:rFonts w:asciiTheme="majorHAnsi" w:hAnsiTheme="majorHAnsi" w:cstheme="minorHAnsi"/>
          <w:sz w:val="24"/>
          <w:szCs w:val="24"/>
          <w:lang w:val="sr-Latn-CS"/>
        </w:rPr>
      </w:pPr>
    </w:p>
    <w:p w14:paraId="3574F24D" w14:textId="77777777" w:rsidR="00D7201F" w:rsidRPr="00082F7B" w:rsidRDefault="00D7201F" w:rsidP="00D7201F">
      <w:pPr>
        <w:pStyle w:val="Heading1"/>
        <w:spacing w:before="0" w:after="0" w:line="240" w:lineRule="auto"/>
        <w:jc w:val="both"/>
        <w:rPr>
          <w:rFonts w:asciiTheme="majorHAnsi" w:hAnsiTheme="majorHAnsi"/>
          <w:szCs w:val="28"/>
          <w:lang w:val="sr-Latn-CS"/>
        </w:rPr>
      </w:pPr>
      <w:bookmarkStart w:id="208" w:name="_Toc390549932"/>
      <w:bookmarkStart w:id="209" w:name="_Toc401959462"/>
      <w:bookmarkStart w:id="210" w:name="_Toc401959555"/>
      <w:bookmarkStart w:id="211" w:name="_Toc435529043"/>
      <w:bookmarkStart w:id="212" w:name="_Toc436124920"/>
      <w:bookmarkStart w:id="213" w:name="_Toc459633572"/>
      <w:r w:rsidRPr="00082F7B">
        <w:rPr>
          <w:rFonts w:asciiTheme="majorHAnsi" w:hAnsiTheme="majorHAnsi"/>
          <w:szCs w:val="28"/>
          <w:lang w:val="sr-Latn-CS"/>
        </w:rPr>
        <w:lastRenderedPageBreak/>
        <w:t>Spisak propisa koji se primjenjuje u postupku davanja koncesije i u vršenju koncesione djelatnosti</w:t>
      </w:r>
      <w:bookmarkEnd w:id="208"/>
      <w:bookmarkEnd w:id="209"/>
      <w:bookmarkEnd w:id="210"/>
      <w:bookmarkEnd w:id="211"/>
      <w:bookmarkEnd w:id="212"/>
      <w:bookmarkEnd w:id="213"/>
    </w:p>
    <w:p w14:paraId="3F1DC695" w14:textId="77777777" w:rsidR="00082F7B" w:rsidRDefault="00082F7B" w:rsidP="00D7201F">
      <w:pPr>
        <w:jc w:val="both"/>
        <w:rPr>
          <w:rFonts w:asciiTheme="majorHAnsi" w:hAnsiTheme="majorHAnsi" w:cstheme="minorHAnsi"/>
          <w:sz w:val="24"/>
          <w:szCs w:val="24"/>
          <w:lang w:val="sr-Latn-CS"/>
        </w:rPr>
      </w:pPr>
    </w:p>
    <w:p w14:paraId="62804232" w14:textId="77777777" w:rsidR="00D7201F" w:rsidRPr="00082F7B" w:rsidRDefault="00D7201F" w:rsidP="00D7201F">
      <w:pPr>
        <w:jc w:val="both"/>
        <w:rPr>
          <w:rFonts w:asciiTheme="majorHAnsi" w:eastAsia="Times New Roman" w:hAnsiTheme="majorHAnsi" w:cstheme="minorHAnsi"/>
          <w:sz w:val="24"/>
          <w:szCs w:val="24"/>
          <w:lang w:val="sr-Latn-CS"/>
        </w:rPr>
      </w:pPr>
      <w:r w:rsidRPr="00082F7B">
        <w:rPr>
          <w:rFonts w:asciiTheme="majorHAnsi" w:hAnsiTheme="majorHAnsi" w:cstheme="minorHAnsi"/>
          <w:sz w:val="24"/>
          <w:szCs w:val="24"/>
          <w:lang w:val="sr-Latn-CS"/>
        </w:rPr>
        <w:t>P</w:t>
      </w:r>
      <w:r w:rsidRPr="00082F7B">
        <w:rPr>
          <w:rFonts w:asciiTheme="majorHAnsi" w:eastAsia="Times New Roman" w:hAnsiTheme="majorHAnsi" w:cstheme="minorHAnsi"/>
          <w:sz w:val="24"/>
          <w:szCs w:val="24"/>
          <w:lang w:val="sr-Latn-CS"/>
        </w:rPr>
        <w:t>ropisi koji se primijenjuju u postupku</w:t>
      </w:r>
      <w:r w:rsidRPr="00082F7B">
        <w:rPr>
          <w:rFonts w:asciiTheme="majorHAnsi" w:hAnsiTheme="majorHAnsi" w:cstheme="minorHAnsi"/>
          <w:sz w:val="24"/>
          <w:szCs w:val="24"/>
          <w:lang w:val="sr-Latn-CS"/>
        </w:rPr>
        <w:t xml:space="preserve"> davanja koncesije i</w:t>
      </w:r>
      <w:r w:rsidRPr="00082F7B">
        <w:rPr>
          <w:rFonts w:asciiTheme="majorHAnsi" w:eastAsia="Times New Roman" w:hAnsiTheme="majorHAnsi" w:cstheme="minorHAnsi"/>
          <w:sz w:val="24"/>
          <w:szCs w:val="24"/>
          <w:lang w:val="sr-Latn-CS"/>
        </w:rPr>
        <w:t xml:space="preserve"> vršenja koncesione djelatnosti: </w:t>
      </w:r>
    </w:p>
    <w:p w14:paraId="6D786A47" w14:textId="77777777" w:rsidR="00D7201F" w:rsidRPr="00082F7B" w:rsidRDefault="00D7201F" w:rsidP="00D7201F">
      <w:pPr>
        <w:numPr>
          <w:ilvl w:val="0"/>
          <w:numId w:val="30"/>
        </w:numPr>
        <w:suppressAutoHyphens w:val="0"/>
        <w:spacing w:after="0"/>
        <w:jc w:val="both"/>
        <w:rPr>
          <w:rFonts w:asciiTheme="majorHAnsi" w:hAnsiTheme="majorHAnsi" w:cstheme="minorHAnsi"/>
          <w:sz w:val="24"/>
          <w:szCs w:val="24"/>
          <w:lang w:val="sr-Latn-CS"/>
        </w:rPr>
      </w:pPr>
      <w:r w:rsidRPr="00082F7B">
        <w:rPr>
          <w:rFonts w:asciiTheme="majorHAnsi" w:eastAsia="Times New Roman" w:hAnsiTheme="majorHAnsi" w:cstheme="minorHAnsi"/>
          <w:sz w:val="24"/>
          <w:szCs w:val="24"/>
          <w:lang w:val="sr-Latn-CS"/>
        </w:rPr>
        <w:t>Zakon o koncesijama (“Sl. list CG”, br. 08/09);</w:t>
      </w:r>
    </w:p>
    <w:p w14:paraId="3F921822" w14:textId="77777777" w:rsidR="00D7201F" w:rsidRPr="00082F7B" w:rsidRDefault="00D7201F" w:rsidP="00D7201F">
      <w:pPr>
        <w:numPr>
          <w:ilvl w:val="0"/>
          <w:numId w:val="30"/>
        </w:numPr>
        <w:suppressAutoHyphens w:val="0"/>
        <w:spacing w:after="0"/>
        <w:jc w:val="both"/>
        <w:rPr>
          <w:rFonts w:asciiTheme="majorHAnsi" w:hAnsiTheme="majorHAnsi" w:cstheme="minorHAnsi"/>
          <w:sz w:val="24"/>
          <w:szCs w:val="24"/>
          <w:lang w:val="sr-Latn-CS"/>
        </w:rPr>
      </w:pPr>
      <w:r w:rsidRPr="00082F7B">
        <w:rPr>
          <w:rFonts w:asciiTheme="majorHAnsi" w:hAnsiTheme="majorHAnsi" w:cstheme="minorHAnsi"/>
          <w:sz w:val="24"/>
          <w:szCs w:val="24"/>
          <w:lang w:val="sr-Latn-CS"/>
        </w:rPr>
        <w:t xml:space="preserve">Uredba </w:t>
      </w:r>
      <w:r w:rsidRPr="00082F7B">
        <w:rPr>
          <w:rFonts w:asciiTheme="majorHAnsi" w:hAnsiTheme="majorHAnsi" w:cstheme="minorHAnsi"/>
          <w:color w:val="333333"/>
          <w:sz w:val="24"/>
          <w:szCs w:val="24"/>
          <w:lang w:val="sr-Latn-CS"/>
        </w:rPr>
        <w:t>o bližem načinu sprovođenja postupka javnog nadmetanja u otvorenom i</w:t>
      </w:r>
      <w:r w:rsidRPr="00082F7B">
        <w:rPr>
          <w:rFonts w:asciiTheme="majorHAnsi" w:hAnsiTheme="majorHAnsi" w:cstheme="minorHAnsi"/>
          <w:sz w:val="24"/>
          <w:szCs w:val="24"/>
          <w:lang w:val="sr-Latn-CS"/>
        </w:rPr>
        <w:t xml:space="preserve"> </w:t>
      </w:r>
      <w:r w:rsidRPr="00082F7B">
        <w:rPr>
          <w:rFonts w:asciiTheme="majorHAnsi" w:hAnsiTheme="majorHAnsi" w:cstheme="minorHAnsi"/>
          <w:color w:val="333333"/>
          <w:sz w:val="24"/>
          <w:szCs w:val="24"/>
          <w:lang w:val="sr-Latn-CS"/>
        </w:rPr>
        <w:t xml:space="preserve">dvostepenom postupku davanja koncesije </w:t>
      </w:r>
      <w:r w:rsidRPr="00082F7B">
        <w:rPr>
          <w:rFonts w:asciiTheme="majorHAnsi" w:eastAsia="Times New Roman" w:hAnsiTheme="majorHAnsi" w:cstheme="minorHAnsi"/>
          <w:sz w:val="24"/>
          <w:szCs w:val="24"/>
          <w:lang w:val="sr-Latn-CS"/>
        </w:rPr>
        <w:t>(“Sl. list CG”, br. 08/09);</w:t>
      </w:r>
    </w:p>
    <w:p w14:paraId="62B4B162" w14:textId="77777777" w:rsidR="00D7201F" w:rsidRPr="00082F7B" w:rsidRDefault="00D7201F" w:rsidP="00D7201F">
      <w:pPr>
        <w:numPr>
          <w:ilvl w:val="0"/>
          <w:numId w:val="30"/>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rudarstvu („Sl. list CG“, br. 65/08, 74/10 i 40/11);</w:t>
      </w:r>
    </w:p>
    <w:p w14:paraId="4905DF0F"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geološkim istraživanjima (‘’Sl. list RCG’’, br. 28/93, 27/94, 42/94 i 26/07 i „Sl. list CG“, br. 28/11);</w:t>
      </w:r>
    </w:p>
    <w:p w14:paraId="014B0FDB"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zaštiti na radu (‘’Sl. list RCG’’, br. 79/04 i „Sl. list CG“, br. 26/10 i 40/11)</w:t>
      </w:r>
    </w:p>
    <w:p w14:paraId="37ABEA06"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procjeni uticaja na životnu sredinu („Sl. list RCG“, br. 80/05 i „Sl. list CG“, br. 40/10, 73/10, 40/11 i 27/13);</w:t>
      </w:r>
    </w:p>
    <w:p w14:paraId="593DBB20"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uređenju prostora i izgradnji objekata (“Sl. list CG”, br. 51/08, 40/10, 34/11, 40/11, 47/11, 35/13 i 39/13);</w:t>
      </w:r>
    </w:p>
    <w:p w14:paraId="3040A2DA"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Zakon o državnoj imovini (“Sl. list CG”, br. 21/09 i 40/11);</w:t>
      </w:r>
    </w:p>
    <w:p w14:paraId="3AB45213"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Uredba o kriterijumima i načinu obračuna iznosa minimalne koncesione naknade za ustupanje prava na istraživanje i eksploataciju mineralnih sirovina („Sl. list CG“, br. 37/11);</w:t>
      </w:r>
    </w:p>
    <w:p w14:paraId="32BD6451"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Uredba o visini sredstava za sanaciju i rekultivaciju prostora na kojem se izvode rudarski radovi, način obračunavanja, plaćanja i korišćenja tih sredstava („Sl. list CG“, br. 51/11);</w:t>
      </w:r>
    </w:p>
    <w:p w14:paraId="26BE40DB"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Pravlnik o klasifikaciji, kategorizaciji i proračunu rezervi čvrstih mineralnih sirovina i vođenju evidencije o njima („Sl. list SFRJ“, br. 53/79);</w:t>
      </w:r>
    </w:p>
    <w:p w14:paraId="6BCAEBB2"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Pravilnik o rudarskim mjerenjima („Sl. list RCG“, br. 26/94);</w:t>
      </w:r>
    </w:p>
    <w:p w14:paraId="62C0F935"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Pravilnik o izradi projekata geoloških istraživanja („Sl. list SRCG“, br. 09/85 i 16/85);</w:t>
      </w:r>
    </w:p>
    <w:p w14:paraId="202555AD"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Pravilnik o sadržini rudarskih projekata („Sl. list CG“, br. 74/09);</w:t>
      </w:r>
    </w:p>
    <w:p w14:paraId="53548525"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Pravilnik o tehničkim normativima za površinsku eksploataciju ležišta mineralnih sirovina („Sl. list SFRJ“, br. 62/87);</w:t>
      </w:r>
    </w:p>
    <w:p w14:paraId="6C84B83A"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Pravilnik o tehničkim normativima za površinsku eksploataciju arhitektonsko-građevinskog (ukrasnog) kamena, tehničko-građevinskog kamena, šljunka i pijeska i preradu arhitektonsko-građevinskog (ukrasnog) kamena („Sl. list SFRJ“, br. 11/86);</w:t>
      </w:r>
    </w:p>
    <w:p w14:paraId="3A9C7677" w14:textId="77777777"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 xml:space="preserve">Uputstvo o izradi godišnjeg tehničkog izvještaja i godišnjeg finansijskog izvještaja o poslovanju koncesionara koji imaju pravo na eksploataciju mineralnih sirovina („Sl. list RCG“, br. 10/95) i </w:t>
      </w:r>
    </w:p>
    <w:p w14:paraId="0E157460" w14:textId="3A989039" w:rsidR="00D7201F" w:rsidRPr="00082F7B" w:rsidRDefault="00D7201F" w:rsidP="00D7201F">
      <w:pPr>
        <w:numPr>
          <w:ilvl w:val="0"/>
          <w:numId w:val="29"/>
        </w:numPr>
        <w:suppressAutoHyphens w:val="0"/>
        <w:spacing w:after="0"/>
        <w:jc w:val="both"/>
        <w:rPr>
          <w:rFonts w:asciiTheme="majorHAnsi" w:eastAsia="Times New Roman" w:hAnsiTheme="majorHAnsi" w:cstheme="minorHAnsi"/>
          <w:sz w:val="24"/>
          <w:szCs w:val="24"/>
          <w:lang w:val="sr-Latn-CS"/>
        </w:rPr>
      </w:pPr>
      <w:r w:rsidRPr="00082F7B">
        <w:rPr>
          <w:rFonts w:asciiTheme="majorHAnsi" w:eastAsia="Times New Roman" w:hAnsiTheme="majorHAnsi" w:cstheme="minorHAnsi"/>
          <w:sz w:val="24"/>
          <w:szCs w:val="24"/>
          <w:lang w:val="sr-Latn-CS"/>
        </w:rPr>
        <w:t>ostali propisi</w:t>
      </w:r>
    </w:p>
    <w:p w14:paraId="681E3F38" w14:textId="77777777" w:rsidR="00D7201F" w:rsidRPr="00082F7B" w:rsidRDefault="00D7201F" w:rsidP="00D7201F">
      <w:pPr>
        <w:spacing w:after="0"/>
        <w:jc w:val="both"/>
        <w:rPr>
          <w:rFonts w:asciiTheme="majorHAnsi" w:eastAsia="Times New Roman" w:hAnsiTheme="majorHAnsi" w:cstheme="minorHAnsi"/>
          <w:sz w:val="24"/>
          <w:szCs w:val="24"/>
          <w:lang w:val="sr-Latn-CS"/>
        </w:rPr>
      </w:pPr>
    </w:p>
    <w:p w14:paraId="6B6C37F5" w14:textId="77777777" w:rsidR="00D7201F" w:rsidRPr="00082F7B" w:rsidRDefault="00D7201F" w:rsidP="00D7201F">
      <w:pPr>
        <w:spacing w:after="0"/>
        <w:jc w:val="both"/>
        <w:rPr>
          <w:rFonts w:asciiTheme="majorHAnsi" w:eastAsia="Times New Roman" w:hAnsiTheme="majorHAnsi" w:cstheme="minorHAnsi"/>
          <w:sz w:val="24"/>
          <w:szCs w:val="24"/>
          <w:lang w:val="sr-Latn-CS"/>
        </w:rPr>
      </w:pPr>
    </w:p>
    <w:p w14:paraId="31ABB26F" w14:textId="77777777" w:rsidR="00D7201F" w:rsidRPr="00082F7B" w:rsidRDefault="00D7201F" w:rsidP="00D7201F">
      <w:pPr>
        <w:spacing w:after="0"/>
        <w:jc w:val="both"/>
        <w:rPr>
          <w:rFonts w:asciiTheme="majorHAnsi" w:eastAsia="Times New Roman" w:hAnsiTheme="majorHAnsi" w:cstheme="minorHAnsi"/>
          <w:sz w:val="24"/>
          <w:szCs w:val="24"/>
          <w:lang w:val="sr-Latn-CS"/>
        </w:rPr>
      </w:pPr>
    </w:p>
    <w:p w14:paraId="22E90CB1" w14:textId="77777777" w:rsidR="00D7201F" w:rsidRPr="00082F7B" w:rsidRDefault="00D7201F" w:rsidP="00D7201F">
      <w:pPr>
        <w:spacing w:after="0"/>
        <w:jc w:val="both"/>
        <w:rPr>
          <w:rFonts w:asciiTheme="majorHAnsi" w:hAnsiTheme="majorHAnsi" w:cstheme="minorHAnsi"/>
          <w:sz w:val="24"/>
          <w:szCs w:val="24"/>
          <w:lang w:val="sr-Latn-CS"/>
        </w:rPr>
      </w:pPr>
      <w:r w:rsidRPr="00082F7B">
        <w:rPr>
          <w:rFonts w:asciiTheme="majorHAnsi" w:hAnsiTheme="majorHAnsi" w:cstheme="minorHAnsi"/>
          <w:b/>
          <w:bCs/>
          <w:sz w:val="24"/>
          <w:szCs w:val="24"/>
          <w:lang w:val="sr-Latn-CS"/>
        </w:rPr>
        <w:t>P R I L O Z I</w:t>
      </w:r>
    </w:p>
    <w:p w14:paraId="619896E6" w14:textId="77777777" w:rsidR="00D7201F" w:rsidRPr="00082F7B" w:rsidRDefault="00D7201F" w:rsidP="00D7201F">
      <w:pPr>
        <w:rPr>
          <w:rFonts w:asciiTheme="majorHAnsi" w:hAnsiTheme="majorHAnsi" w:cstheme="minorHAnsi"/>
          <w:sz w:val="24"/>
          <w:szCs w:val="24"/>
          <w:lang w:val="sr-Latn-CS"/>
        </w:rPr>
      </w:pPr>
    </w:p>
    <w:p w14:paraId="35E1E307" w14:textId="77777777" w:rsidR="00D7201F" w:rsidRPr="00082F7B" w:rsidRDefault="00D7201F" w:rsidP="00D7201F">
      <w:pPr>
        <w:pStyle w:val="Heading1"/>
        <w:numPr>
          <w:ilvl w:val="0"/>
          <w:numId w:val="0"/>
        </w:numPr>
        <w:ind w:left="432"/>
        <w:rPr>
          <w:rFonts w:asciiTheme="majorHAnsi" w:hAnsiTheme="majorHAnsi"/>
          <w:sz w:val="24"/>
          <w:szCs w:val="24"/>
        </w:rPr>
      </w:pPr>
    </w:p>
    <w:p w14:paraId="445C1308" w14:textId="77777777" w:rsidR="00D0750D" w:rsidRPr="00082F7B" w:rsidRDefault="00D0750D" w:rsidP="00D7201F">
      <w:pPr>
        <w:spacing w:after="0" w:line="240" w:lineRule="auto"/>
        <w:rPr>
          <w:rFonts w:asciiTheme="majorHAnsi" w:hAnsiTheme="majorHAnsi"/>
          <w:sz w:val="24"/>
          <w:szCs w:val="24"/>
        </w:rPr>
      </w:pPr>
    </w:p>
    <w:sectPr w:rsidR="00D0750D" w:rsidRPr="00082F7B" w:rsidSect="00F71D0E">
      <w:footerReference w:type="defaul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70C26" w14:textId="77777777" w:rsidR="00693589" w:rsidRDefault="00693589" w:rsidP="00F71D0E">
      <w:pPr>
        <w:spacing w:after="0" w:line="240" w:lineRule="auto"/>
      </w:pPr>
      <w:r>
        <w:separator/>
      </w:r>
    </w:p>
  </w:endnote>
  <w:endnote w:type="continuationSeparator" w:id="0">
    <w:p w14:paraId="278B2093" w14:textId="77777777" w:rsidR="00693589" w:rsidRDefault="00693589" w:rsidP="00F71D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auto"/>
    <w:pitch w:val="variable"/>
    <w:sig w:usb0="00000287" w:usb1="00000800" w:usb2="00000000" w:usb3="00000000" w:csb0="000000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ＭＳ 明朝">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B3302" w14:textId="77777777" w:rsidR="00B25576" w:rsidRPr="00F71D0E" w:rsidRDefault="00B25576">
    <w:pPr>
      <w:pStyle w:val="Footer"/>
      <w:pBdr>
        <w:top w:val="thinThickSmallGap" w:sz="24" w:space="1" w:color="622423" w:themeColor="accent2" w:themeShade="7F"/>
      </w:pBdr>
      <w:rPr>
        <w:rFonts w:asciiTheme="minorHAnsi" w:hAnsiTheme="minorHAnsi" w:cstheme="minorHAnsi"/>
        <w:sz w:val="20"/>
        <w:szCs w:val="20"/>
      </w:rPr>
    </w:pPr>
    <w:r w:rsidRPr="00880AA9">
      <w:rPr>
        <w:rFonts w:asciiTheme="majorHAnsi" w:hAnsiTheme="majorHAnsi" w:cstheme="minorHAnsi"/>
        <w:sz w:val="20"/>
        <w:szCs w:val="20"/>
      </w:rPr>
      <w:t>Koncesioni akt o mineralnoj sirovini tehničko-građevinskog kamena (krečnjak) ležišta “Štitarica-Taskavac”, opština Mojkovac</w:t>
    </w:r>
    <w:r w:rsidRPr="00880AA9">
      <w:rPr>
        <w:rFonts w:asciiTheme="majorHAnsi" w:hAnsiTheme="majorHAnsi" w:cstheme="minorHAnsi"/>
        <w:sz w:val="20"/>
        <w:szCs w:val="20"/>
      </w:rPr>
      <w:ptab w:relativeTo="margin" w:alignment="right" w:leader="none"/>
    </w:r>
    <w:r w:rsidRPr="00880AA9">
      <w:rPr>
        <w:rFonts w:asciiTheme="majorHAnsi" w:hAnsiTheme="majorHAnsi" w:cstheme="minorHAnsi"/>
        <w:sz w:val="20"/>
        <w:szCs w:val="20"/>
      </w:rPr>
      <w:t>Page</w:t>
    </w:r>
    <w:r w:rsidRPr="00F71D0E">
      <w:rPr>
        <w:rFonts w:asciiTheme="minorHAnsi" w:hAnsiTheme="minorHAnsi" w:cstheme="minorHAnsi"/>
        <w:sz w:val="20"/>
        <w:szCs w:val="20"/>
      </w:rPr>
      <w:t xml:space="preserve"> </w:t>
    </w:r>
    <w:r w:rsidRPr="00F71D0E">
      <w:rPr>
        <w:rFonts w:asciiTheme="minorHAnsi" w:hAnsiTheme="minorHAnsi" w:cstheme="minorHAnsi"/>
        <w:sz w:val="20"/>
        <w:szCs w:val="20"/>
      </w:rPr>
      <w:fldChar w:fldCharType="begin"/>
    </w:r>
    <w:r w:rsidRPr="00F71D0E">
      <w:rPr>
        <w:rFonts w:asciiTheme="minorHAnsi" w:hAnsiTheme="minorHAnsi" w:cstheme="minorHAnsi"/>
        <w:sz w:val="20"/>
        <w:szCs w:val="20"/>
      </w:rPr>
      <w:instrText xml:space="preserve"> PAGE   \* MERGEFORMAT </w:instrText>
    </w:r>
    <w:r w:rsidRPr="00F71D0E">
      <w:rPr>
        <w:rFonts w:asciiTheme="minorHAnsi" w:hAnsiTheme="minorHAnsi" w:cstheme="minorHAnsi"/>
        <w:sz w:val="20"/>
        <w:szCs w:val="20"/>
      </w:rPr>
      <w:fldChar w:fldCharType="separate"/>
    </w:r>
    <w:r w:rsidR="00541CC3">
      <w:rPr>
        <w:rFonts w:asciiTheme="minorHAnsi" w:hAnsiTheme="minorHAnsi" w:cstheme="minorHAnsi"/>
        <w:noProof/>
        <w:sz w:val="20"/>
        <w:szCs w:val="20"/>
      </w:rPr>
      <w:t>44</w:t>
    </w:r>
    <w:r w:rsidRPr="00F71D0E">
      <w:rPr>
        <w:rFonts w:asciiTheme="minorHAnsi" w:hAnsiTheme="minorHAnsi" w:cstheme="minorHAnsi"/>
        <w:sz w:val="20"/>
        <w:szCs w:val="20"/>
      </w:rPr>
      <w:fldChar w:fldCharType="end"/>
    </w:r>
  </w:p>
  <w:p w14:paraId="43A0AFAA" w14:textId="77777777" w:rsidR="00B25576" w:rsidRDefault="00B25576">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75924" w14:textId="77777777" w:rsidR="00693589" w:rsidRDefault="00693589" w:rsidP="00F71D0E">
      <w:pPr>
        <w:spacing w:after="0" w:line="240" w:lineRule="auto"/>
      </w:pPr>
      <w:r>
        <w:separator/>
      </w:r>
    </w:p>
  </w:footnote>
  <w:footnote w:type="continuationSeparator" w:id="0">
    <w:p w14:paraId="5623CA1C" w14:textId="77777777" w:rsidR="00693589" w:rsidRDefault="00693589" w:rsidP="00F71D0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Num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00000003"/>
    <w:name w:val="WWNum3"/>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4"/>
    <w:multiLevelType w:val="multilevel"/>
    <w:tmpl w:val="00000004"/>
    <w:name w:val="WWNum13"/>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3">
    <w:nsid w:val="00000005"/>
    <w:multiLevelType w:val="multilevel"/>
    <w:tmpl w:val="00000005"/>
    <w:name w:val="WWNum14"/>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6"/>
    <w:multiLevelType w:val="multilevel"/>
    <w:tmpl w:val="00000006"/>
    <w:name w:val="WWNum15"/>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7"/>
    <w:multiLevelType w:val="multilevel"/>
    <w:tmpl w:val="00000007"/>
    <w:name w:val="WWNum16"/>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8"/>
    <w:multiLevelType w:val="multilevel"/>
    <w:tmpl w:val="00000008"/>
    <w:name w:val="WWNum1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nsid w:val="00000009"/>
    <w:multiLevelType w:val="multilevel"/>
    <w:tmpl w:val="00000009"/>
    <w:name w:val="WWNum18"/>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A"/>
    <w:multiLevelType w:val="multilevel"/>
    <w:tmpl w:val="0000000A"/>
    <w:name w:val="WWNum19"/>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nsid w:val="0000000B"/>
    <w:multiLevelType w:val="multilevel"/>
    <w:tmpl w:val="0000000B"/>
    <w:name w:val="WWNum20"/>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nsid w:val="0000000C"/>
    <w:multiLevelType w:val="multilevel"/>
    <w:tmpl w:val="0000000C"/>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0D"/>
    <w:multiLevelType w:val="multilevel"/>
    <w:tmpl w:val="0000000D"/>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nsid w:val="0000000E"/>
    <w:multiLevelType w:val="multilevel"/>
    <w:tmpl w:val="0000000E"/>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00000F"/>
    <w:multiLevelType w:val="multilevel"/>
    <w:tmpl w:val="0000000F"/>
    <w:name w:val="WWNum27"/>
    <w:lvl w:ilvl="0">
      <w:start w:val="1"/>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4">
    <w:nsid w:val="00000010"/>
    <w:multiLevelType w:val="multilevel"/>
    <w:tmpl w:val="00000010"/>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nsid w:val="00000011"/>
    <w:multiLevelType w:val="multilevel"/>
    <w:tmpl w:val="00000011"/>
    <w:name w:val="WWNum29"/>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6">
    <w:nsid w:val="00000012"/>
    <w:multiLevelType w:val="multilevel"/>
    <w:tmpl w:val="00000012"/>
    <w:name w:val="WWNum31"/>
    <w:lvl w:ilvl="0">
      <w:start w:val="7"/>
      <w:numFmt w:val="bullet"/>
      <w:lvlText w:val="-"/>
      <w:lvlJc w:val="left"/>
      <w:pPr>
        <w:tabs>
          <w:tab w:val="num" w:pos="0"/>
        </w:tabs>
        <w:ind w:left="720" w:hanging="360"/>
      </w:pPr>
      <w:rPr>
        <w:rFonts w:ascii="Arial Narrow" w:hAnsi="Arial Narrow"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7">
    <w:nsid w:val="00000013"/>
    <w:multiLevelType w:val="multilevel"/>
    <w:tmpl w:val="00000013"/>
    <w:name w:val="WWNum35"/>
    <w:lvl w:ilvl="0">
      <w:start w:val="885"/>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nsid w:val="00000018"/>
    <w:multiLevelType w:val="multilevel"/>
    <w:tmpl w:val="00000018"/>
    <w:name w:val="WWNum24"/>
    <w:lvl w:ilvl="0">
      <w:start w:val="1"/>
      <w:numFmt w:val="decimal"/>
      <w:lvlText w:val="Korak %1"/>
      <w:lvlJc w:val="left"/>
      <w:pPr>
        <w:tabs>
          <w:tab w:val="num" w:pos="0"/>
        </w:tabs>
        <w:ind w:left="108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nsid w:val="0AED4A05"/>
    <w:multiLevelType w:val="hybridMultilevel"/>
    <w:tmpl w:val="EB4EA45E"/>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F416B05"/>
    <w:multiLevelType w:val="hybridMultilevel"/>
    <w:tmpl w:val="F5A6A750"/>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2142AE4"/>
    <w:multiLevelType w:val="hybridMultilevel"/>
    <w:tmpl w:val="92240D1C"/>
    <w:lvl w:ilvl="0" w:tplc="04090001">
      <w:start w:val="1"/>
      <w:numFmt w:val="bullet"/>
      <w:lvlText w:val=""/>
      <w:lvlJc w:val="left"/>
      <w:pPr>
        <w:tabs>
          <w:tab w:val="num" w:pos="720"/>
        </w:tabs>
        <w:ind w:left="720" w:hanging="360"/>
      </w:pPr>
      <w:rPr>
        <w:rFonts w:ascii="Symbol" w:hAnsi="Symbol" w:cs="Symbol" w:hint="default"/>
      </w:rPr>
    </w:lvl>
    <w:lvl w:ilvl="1" w:tplc="C1ECFCE0">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1A0A1DD0"/>
    <w:multiLevelType w:val="hybridMultilevel"/>
    <w:tmpl w:val="306646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AFB355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nsid w:val="1D2A7FD0"/>
    <w:multiLevelType w:val="hybridMultilevel"/>
    <w:tmpl w:val="4DB4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1D4A6729"/>
    <w:multiLevelType w:val="hybridMultilevel"/>
    <w:tmpl w:val="113217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EE26A02"/>
    <w:multiLevelType w:val="hybridMultilevel"/>
    <w:tmpl w:val="2604E7B8"/>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1C075CE"/>
    <w:multiLevelType w:val="hybridMultilevel"/>
    <w:tmpl w:val="46A6AE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991080"/>
    <w:multiLevelType w:val="multilevel"/>
    <w:tmpl w:val="504E21BA"/>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b/>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nsid w:val="22E67B35"/>
    <w:multiLevelType w:val="hybridMultilevel"/>
    <w:tmpl w:val="3FC2612C"/>
    <w:lvl w:ilvl="0" w:tplc="2E18DAEC">
      <w:start w:val="1"/>
      <w:numFmt w:val="decimal"/>
      <w:lvlText w:val="Korak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42E221A"/>
    <w:multiLevelType w:val="hybridMultilevel"/>
    <w:tmpl w:val="0464D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6FE78DA"/>
    <w:multiLevelType w:val="hybridMultilevel"/>
    <w:tmpl w:val="4B00D2D8"/>
    <w:lvl w:ilvl="0" w:tplc="314443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7EA3DE0"/>
    <w:multiLevelType w:val="hybridMultilevel"/>
    <w:tmpl w:val="F110A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44852E5"/>
    <w:multiLevelType w:val="hybridMultilevel"/>
    <w:tmpl w:val="A8A8AF0E"/>
    <w:lvl w:ilvl="0" w:tplc="FFFFFFFF">
      <w:start w:val="1"/>
      <w:numFmt w:val="bullet"/>
      <w:lvlText w:val="-"/>
      <w:lvlJc w:val="left"/>
      <w:pPr>
        <w:tabs>
          <w:tab w:val="num" w:pos="360"/>
        </w:tabs>
        <w:ind w:left="360" w:hanging="360"/>
      </w:pPr>
      <w:rPr>
        <w:rFonts w:hAnsi="Courier New"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4">
    <w:nsid w:val="4F6D5BFD"/>
    <w:multiLevelType w:val="hybridMultilevel"/>
    <w:tmpl w:val="50148958"/>
    <w:lvl w:ilvl="0" w:tplc="9DE87B50">
      <w:start w:val="1"/>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6082E7A"/>
    <w:multiLevelType w:val="multilevel"/>
    <w:tmpl w:val="6464B824"/>
    <w:lvl w:ilvl="0">
      <w:start w:val="1"/>
      <w:numFmt w:val="decimal"/>
      <w:lvlText w:val="%1."/>
      <w:lvlJc w:val="left"/>
      <w:pPr>
        <w:ind w:left="360" w:hanging="360"/>
      </w:pPr>
      <w:rPr>
        <w:rFonts w:hint="default"/>
        <w:b/>
        <w:i w:val="0"/>
        <w:sz w:val="22"/>
      </w:rPr>
    </w:lvl>
    <w:lvl w:ilvl="1">
      <w:start w:val="1"/>
      <w:numFmt w:val="decimal"/>
      <w:lvlText w:val="%1.%2."/>
      <w:lvlJc w:val="left"/>
      <w:pPr>
        <w:ind w:left="432" w:hanging="432"/>
      </w:pPr>
      <w:rPr>
        <w:rFonts w:ascii="Calibri" w:hAnsi="Calibri" w:cs="Calibri" w:hint="default"/>
        <w:b/>
        <w:i w:val="0"/>
        <w:sz w:val="24"/>
        <w:szCs w:val="24"/>
      </w:rPr>
    </w:lvl>
    <w:lvl w:ilvl="2">
      <w:start w:val="1"/>
      <w:numFmt w:val="decimal"/>
      <w:lvlText w:val="%1.%2.%3."/>
      <w:lvlJc w:val="left"/>
      <w:pPr>
        <w:ind w:left="1944" w:hanging="504"/>
      </w:pPr>
      <w:rPr>
        <w:rFonts w:ascii="Calibri" w:hAnsi="Calibri" w:cs="Calibri" w:hint="default"/>
        <w:b/>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5A1C2E54"/>
    <w:multiLevelType w:val="hybridMultilevel"/>
    <w:tmpl w:val="1242A9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D110C39"/>
    <w:multiLevelType w:val="hybridMultilevel"/>
    <w:tmpl w:val="2A6259F4"/>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875316"/>
    <w:multiLevelType w:val="hybridMultilevel"/>
    <w:tmpl w:val="3968D53E"/>
    <w:lvl w:ilvl="0" w:tplc="04090017">
      <w:start w:val="1"/>
      <w:numFmt w:val="lowerLetter"/>
      <w:lvlText w:val="%1)"/>
      <w:lvlJc w:val="left"/>
      <w:pPr>
        <w:tabs>
          <w:tab w:val="num" w:pos="1530"/>
        </w:tabs>
        <w:ind w:left="153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39">
    <w:nsid w:val="609B714E"/>
    <w:multiLevelType w:val="hybridMultilevel"/>
    <w:tmpl w:val="F88805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DB874F0"/>
    <w:multiLevelType w:val="hybridMultilevel"/>
    <w:tmpl w:val="F6D4E4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45608A"/>
    <w:multiLevelType w:val="hybridMultilevel"/>
    <w:tmpl w:val="4476F078"/>
    <w:lvl w:ilvl="0" w:tplc="0B46CA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DA26C7"/>
    <w:multiLevelType w:val="hybridMultilevel"/>
    <w:tmpl w:val="3F2C0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91437FE"/>
    <w:multiLevelType w:val="hybridMultilevel"/>
    <w:tmpl w:val="8FC6004A"/>
    <w:lvl w:ilvl="0" w:tplc="49FA5E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8A4782"/>
    <w:multiLevelType w:val="hybridMultilevel"/>
    <w:tmpl w:val="0AC236E4"/>
    <w:lvl w:ilvl="0" w:tplc="AE6E48CC">
      <w:numFmt w:val="bullet"/>
      <w:lvlText w:val="-"/>
      <w:lvlJc w:val="left"/>
      <w:pPr>
        <w:ind w:left="720" w:hanging="360"/>
      </w:pPr>
      <w:rPr>
        <w:rFonts w:ascii="Arial Narrow" w:eastAsia="Calibri"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911FB2"/>
    <w:multiLevelType w:val="hybridMultilevel"/>
    <w:tmpl w:val="308CB220"/>
    <w:lvl w:ilvl="0" w:tplc="CBA4C758">
      <w:numFmt w:val="bullet"/>
      <w:lvlText w:val="-"/>
      <w:lvlJc w:val="left"/>
      <w:pPr>
        <w:ind w:left="720" w:hanging="360"/>
      </w:pPr>
      <w:rPr>
        <w:rFonts w:ascii="Arial Narrow" w:eastAsia="Calibri" w:hAnsi="Arial Narrow" w:cs="Arial" w:hint="default"/>
      </w:rPr>
    </w:lvl>
    <w:lvl w:ilvl="1" w:tplc="230AAD38" w:tentative="1">
      <w:start w:val="1"/>
      <w:numFmt w:val="bullet"/>
      <w:lvlText w:val="o"/>
      <w:lvlJc w:val="left"/>
      <w:pPr>
        <w:ind w:left="1440" w:hanging="360"/>
      </w:pPr>
      <w:rPr>
        <w:rFonts w:ascii="Courier New" w:hAnsi="Courier New" w:cs="Courier New" w:hint="default"/>
      </w:rPr>
    </w:lvl>
    <w:lvl w:ilvl="2" w:tplc="BDAABEB8" w:tentative="1">
      <w:start w:val="1"/>
      <w:numFmt w:val="bullet"/>
      <w:lvlText w:val=""/>
      <w:lvlJc w:val="left"/>
      <w:pPr>
        <w:ind w:left="2160" w:hanging="360"/>
      </w:pPr>
      <w:rPr>
        <w:rFonts w:ascii="Wingdings" w:hAnsi="Wingdings" w:hint="default"/>
      </w:rPr>
    </w:lvl>
    <w:lvl w:ilvl="3" w:tplc="54801536" w:tentative="1">
      <w:start w:val="1"/>
      <w:numFmt w:val="bullet"/>
      <w:lvlText w:val=""/>
      <w:lvlJc w:val="left"/>
      <w:pPr>
        <w:ind w:left="2880" w:hanging="360"/>
      </w:pPr>
      <w:rPr>
        <w:rFonts w:ascii="Symbol" w:hAnsi="Symbol" w:hint="default"/>
      </w:rPr>
    </w:lvl>
    <w:lvl w:ilvl="4" w:tplc="2F7E757A" w:tentative="1">
      <w:start w:val="1"/>
      <w:numFmt w:val="bullet"/>
      <w:lvlText w:val="o"/>
      <w:lvlJc w:val="left"/>
      <w:pPr>
        <w:ind w:left="3600" w:hanging="360"/>
      </w:pPr>
      <w:rPr>
        <w:rFonts w:ascii="Courier New" w:hAnsi="Courier New" w:cs="Courier New" w:hint="default"/>
      </w:rPr>
    </w:lvl>
    <w:lvl w:ilvl="5" w:tplc="2C1A6A46" w:tentative="1">
      <w:start w:val="1"/>
      <w:numFmt w:val="bullet"/>
      <w:lvlText w:val=""/>
      <w:lvlJc w:val="left"/>
      <w:pPr>
        <w:ind w:left="4320" w:hanging="360"/>
      </w:pPr>
      <w:rPr>
        <w:rFonts w:ascii="Wingdings" w:hAnsi="Wingdings" w:hint="default"/>
      </w:rPr>
    </w:lvl>
    <w:lvl w:ilvl="6" w:tplc="A1AA95A4" w:tentative="1">
      <w:start w:val="1"/>
      <w:numFmt w:val="bullet"/>
      <w:lvlText w:val=""/>
      <w:lvlJc w:val="left"/>
      <w:pPr>
        <w:ind w:left="5040" w:hanging="360"/>
      </w:pPr>
      <w:rPr>
        <w:rFonts w:ascii="Symbol" w:hAnsi="Symbol" w:hint="default"/>
      </w:rPr>
    </w:lvl>
    <w:lvl w:ilvl="7" w:tplc="4154BF1C" w:tentative="1">
      <w:start w:val="1"/>
      <w:numFmt w:val="bullet"/>
      <w:lvlText w:val="o"/>
      <w:lvlJc w:val="left"/>
      <w:pPr>
        <w:ind w:left="5760" w:hanging="360"/>
      </w:pPr>
      <w:rPr>
        <w:rFonts w:ascii="Courier New" w:hAnsi="Courier New" w:cs="Courier New" w:hint="default"/>
      </w:rPr>
    </w:lvl>
    <w:lvl w:ilvl="8" w:tplc="08B0C432"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6"/>
  </w:num>
  <w:num w:numId="5">
    <w:abstractNumId w:val="8"/>
  </w:num>
  <w:num w:numId="6">
    <w:abstractNumId w:val="9"/>
  </w:num>
  <w:num w:numId="7">
    <w:abstractNumId w:val="15"/>
  </w:num>
  <w:num w:numId="8">
    <w:abstractNumId w:val="32"/>
  </w:num>
  <w:num w:numId="9">
    <w:abstractNumId w:val="20"/>
  </w:num>
  <w:num w:numId="10">
    <w:abstractNumId w:val="43"/>
  </w:num>
  <w:num w:numId="11">
    <w:abstractNumId w:val="23"/>
  </w:num>
  <w:num w:numId="12">
    <w:abstractNumId w:val="28"/>
  </w:num>
  <w:num w:numId="13">
    <w:abstractNumId w:val="35"/>
  </w:num>
  <w:num w:numId="14">
    <w:abstractNumId w:val="41"/>
  </w:num>
  <w:num w:numId="15">
    <w:abstractNumId w:val="36"/>
  </w:num>
  <w:num w:numId="16">
    <w:abstractNumId w:val="30"/>
  </w:num>
  <w:num w:numId="17">
    <w:abstractNumId w:val="29"/>
  </w:num>
  <w:num w:numId="18">
    <w:abstractNumId w:val="33"/>
  </w:num>
  <w:num w:numId="19">
    <w:abstractNumId w:val="31"/>
  </w:num>
  <w:num w:numId="20">
    <w:abstractNumId w:val="42"/>
  </w:num>
  <w:num w:numId="21">
    <w:abstractNumId w:val="34"/>
  </w:num>
  <w:num w:numId="22">
    <w:abstractNumId w:val="26"/>
  </w:num>
  <w:num w:numId="23">
    <w:abstractNumId w:val="25"/>
  </w:num>
  <w:num w:numId="24">
    <w:abstractNumId w:val="44"/>
  </w:num>
  <w:num w:numId="25">
    <w:abstractNumId w:val="39"/>
  </w:num>
  <w:num w:numId="26">
    <w:abstractNumId w:val="22"/>
  </w:num>
  <w:num w:numId="27">
    <w:abstractNumId w:val="40"/>
  </w:num>
  <w:num w:numId="28">
    <w:abstractNumId w:val="27"/>
  </w:num>
  <w:num w:numId="29">
    <w:abstractNumId w:val="19"/>
  </w:num>
  <w:num w:numId="30">
    <w:abstractNumId w:val="45"/>
  </w:num>
  <w:num w:numId="31">
    <w:abstractNumId w:val="24"/>
  </w:num>
  <w:num w:numId="32">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3C8"/>
    <w:rsid w:val="000006FE"/>
    <w:rsid w:val="00043632"/>
    <w:rsid w:val="00056108"/>
    <w:rsid w:val="00071D1B"/>
    <w:rsid w:val="000814CE"/>
    <w:rsid w:val="00082F7B"/>
    <w:rsid w:val="000A4031"/>
    <w:rsid w:val="000B1734"/>
    <w:rsid w:val="000D449A"/>
    <w:rsid w:val="000E2A62"/>
    <w:rsid w:val="00121734"/>
    <w:rsid w:val="00181F4E"/>
    <w:rsid w:val="001A5654"/>
    <w:rsid w:val="001B21E3"/>
    <w:rsid w:val="001B58C9"/>
    <w:rsid w:val="00266CEB"/>
    <w:rsid w:val="0028454D"/>
    <w:rsid w:val="00292732"/>
    <w:rsid w:val="00365C7E"/>
    <w:rsid w:val="003936D7"/>
    <w:rsid w:val="003E1C0A"/>
    <w:rsid w:val="00420CFA"/>
    <w:rsid w:val="00455A6B"/>
    <w:rsid w:val="004E3294"/>
    <w:rsid w:val="0051097C"/>
    <w:rsid w:val="00541CC3"/>
    <w:rsid w:val="00567733"/>
    <w:rsid w:val="00585F99"/>
    <w:rsid w:val="005B2F5C"/>
    <w:rsid w:val="005F7F4F"/>
    <w:rsid w:val="00621E3C"/>
    <w:rsid w:val="00674354"/>
    <w:rsid w:val="006824FB"/>
    <w:rsid w:val="00693589"/>
    <w:rsid w:val="006E73B5"/>
    <w:rsid w:val="006F4DD8"/>
    <w:rsid w:val="00704AC3"/>
    <w:rsid w:val="00755DED"/>
    <w:rsid w:val="0077115D"/>
    <w:rsid w:val="007B5F1A"/>
    <w:rsid w:val="007C44E0"/>
    <w:rsid w:val="007F7C0F"/>
    <w:rsid w:val="008516B5"/>
    <w:rsid w:val="00880AA9"/>
    <w:rsid w:val="008838C7"/>
    <w:rsid w:val="008C2A37"/>
    <w:rsid w:val="008F5F1F"/>
    <w:rsid w:val="008F797A"/>
    <w:rsid w:val="00915231"/>
    <w:rsid w:val="00920540"/>
    <w:rsid w:val="00927ED5"/>
    <w:rsid w:val="00937C4A"/>
    <w:rsid w:val="00942E3F"/>
    <w:rsid w:val="00945058"/>
    <w:rsid w:val="009474E6"/>
    <w:rsid w:val="009A71E8"/>
    <w:rsid w:val="009B05C3"/>
    <w:rsid w:val="009D19C2"/>
    <w:rsid w:val="009D330C"/>
    <w:rsid w:val="009F02D2"/>
    <w:rsid w:val="00A16F91"/>
    <w:rsid w:val="00A24068"/>
    <w:rsid w:val="00A27048"/>
    <w:rsid w:val="00A27F60"/>
    <w:rsid w:val="00A349B1"/>
    <w:rsid w:val="00A43667"/>
    <w:rsid w:val="00A728C2"/>
    <w:rsid w:val="00A956E5"/>
    <w:rsid w:val="00AE3FD3"/>
    <w:rsid w:val="00AE6B64"/>
    <w:rsid w:val="00AF620A"/>
    <w:rsid w:val="00B102A4"/>
    <w:rsid w:val="00B25576"/>
    <w:rsid w:val="00B3141B"/>
    <w:rsid w:val="00B96FE9"/>
    <w:rsid w:val="00BE4431"/>
    <w:rsid w:val="00BE7051"/>
    <w:rsid w:val="00BE748E"/>
    <w:rsid w:val="00C13DCC"/>
    <w:rsid w:val="00C33B19"/>
    <w:rsid w:val="00CC0E87"/>
    <w:rsid w:val="00CC506B"/>
    <w:rsid w:val="00D0750D"/>
    <w:rsid w:val="00D13168"/>
    <w:rsid w:val="00D16E06"/>
    <w:rsid w:val="00D33F0D"/>
    <w:rsid w:val="00D368B8"/>
    <w:rsid w:val="00D6150B"/>
    <w:rsid w:val="00D71DA9"/>
    <w:rsid w:val="00D7201F"/>
    <w:rsid w:val="00DB36B4"/>
    <w:rsid w:val="00DB6FD3"/>
    <w:rsid w:val="00DC62B8"/>
    <w:rsid w:val="00E354DE"/>
    <w:rsid w:val="00E4191C"/>
    <w:rsid w:val="00E8576A"/>
    <w:rsid w:val="00E85BD9"/>
    <w:rsid w:val="00EA15A1"/>
    <w:rsid w:val="00EA5339"/>
    <w:rsid w:val="00ED0C0A"/>
    <w:rsid w:val="00F10732"/>
    <w:rsid w:val="00F3246C"/>
    <w:rsid w:val="00F33300"/>
    <w:rsid w:val="00F35F1C"/>
    <w:rsid w:val="00F411E2"/>
    <w:rsid w:val="00F653C8"/>
    <w:rsid w:val="00F71D0E"/>
    <w:rsid w:val="00F74504"/>
    <w:rsid w:val="00F76911"/>
    <w:rsid w:val="00F81E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8EE76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3C8"/>
    <w:pPr>
      <w:suppressAutoHyphens/>
    </w:pPr>
    <w:rPr>
      <w:rFonts w:ascii="Calibri" w:eastAsia="Arial Unicode MS" w:hAnsi="Calibri" w:cs="Calibri"/>
      <w:kern w:val="1"/>
    </w:rPr>
  </w:style>
  <w:style w:type="paragraph" w:styleId="Heading1">
    <w:name w:val="heading 1"/>
    <w:basedOn w:val="Normal"/>
    <w:next w:val="Normal"/>
    <w:link w:val="Heading1Char"/>
    <w:qFormat/>
    <w:rsid w:val="00F653C8"/>
    <w:pPr>
      <w:keepNext/>
      <w:numPr>
        <w:numId w:val="11"/>
      </w:numPr>
      <w:spacing w:before="240" w:after="60"/>
      <w:outlineLvl w:val="0"/>
    </w:pPr>
    <w:rPr>
      <w:rFonts w:ascii="Cambria" w:hAnsi="Cambria" w:cs="Arial"/>
      <w:b/>
      <w:bCs/>
      <w:kern w:val="32"/>
      <w:sz w:val="28"/>
      <w:szCs w:val="32"/>
    </w:rPr>
  </w:style>
  <w:style w:type="paragraph" w:styleId="Heading2">
    <w:name w:val="heading 2"/>
    <w:basedOn w:val="Normal"/>
    <w:next w:val="Normal"/>
    <w:link w:val="Heading2Char"/>
    <w:qFormat/>
    <w:rsid w:val="00F653C8"/>
    <w:pPr>
      <w:keepNext/>
      <w:numPr>
        <w:ilvl w:val="1"/>
        <w:numId w:val="11"/>
      </w:numPr>
      <w:spacing w:before="240" w:after="60"/>
      <w:outlineLvl w:val="1"/>
    </w:pPr>
    <w:rPr>
      <w:rFonts w:ascii="Cambria" w:hAnsi="Cambria" w:cs="Arial"/>
      <w:b/>
      <w:bCs/>
      <w:iCs/>
      <w:sz w:val="24"/>
      <w:szCs w:val="28"/>
    </w:rPr>
  </w:style>
  <w:style w:type="paragraph" w:styleId="Heading3">
    <w:name w:val="heading 3"/>
    <w:basedOn w:val="Normal"/>
    <w:next w:val="Normal"/>
    <w:link w:val="Heading3Char"/>
    <w:unhideWhenUsed/>
    <w:qFormat/>
    <w:rsid w:val="00F653C8"/>
    <w:pPr>
      <w:keepNext/>
      <w:numPr>
        <w:ilvl w:val="2"/>
        <w:numId w:val="11"/>
      </w:numPr>
      <w:spacing w:before="240" w:after="60"/>
      <w:outlineLvl w:val="2"/>
    </w:pPr>
    <w:rPr>
      <w:rFonts w:ascii="Cambria" w:eastAsia="Times New Roman" w:hAnsi="Cambria" w:cs="Times New Roman"/>
      <w:b/>
      <w:bCs/>
      <w:sz w:val="24"/>
      <w:szCs w:val="26"/>
    </w:rPr>
  </w:style>
  <w:style w:type="paragraph" w:styleId="Heading4">
    <w:name w:val="heading 4"/>
    <w:basedOn w:val="Normal"/>
    <w:next w:val="BodyText"/>
    <w:link w:val="Heading4Char"/>
    <w:qFormat/>
    <w:rsid w:val="00F653C8"/>
    <w:pPr>
      <w:keepNext/>
      <w:numPr>
        <w:ilvl w:val="3"/>
        <w:numId w:val="11"/>
      </w:numPr>
      <w:spacing w:after="0" w:line="100" w:lineRule="atLeast"/>
      <w:outlineLvl w:val="3"/>
    </w:pPr>
    <w:rPr>
      <w:rFonts w:ascii="Cambria" w:eastAsia="Times New Roman" w:hAnsi="Cambria" w:cs="Times New Roman"/>
      <w:sz w:val="24"/>
      <w:szCs w:val="24"/>
    </w:rPr>
  </w:style>
  <w:style w:type="paragraph" w:styleId="Heading5">
    <w:name w:val="heading 5"/>
    <w:basedOn w:val="Normal"/>
    <w:next w:val="Normal"/>
    <w:link w:val="Heading5Char"/>
    <w:semiHidden/>
    <w:unhideWhenUsed/>
    <w:qFormat/>
    <w:rsid w:val="00F653C8"/>
    <w:pPr>
      <w:numPr>
        <w:ilvl w:val="4"/>
        <w:numId w:val="11"/>
      </w:num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semiHidden/>
    <w:unhideWhenUsed/>
    <w:qFormat/>
    <w:rsid w:val="00F653C8"/>
    <w:pPr>
      <w:numPr>
        <w:ilvl w:val="5"/>
        <w:numId w:val="11"/>
      </w:numPr>
      <w:spacing w:before="240" w:after="60"/>
      <w:outlineLvl w:val="5"/>
    </w:pPr>
    <w:rPr>
      <w:rFonts w:eastAsia="Times New Roman" w:cs="Times New Roman"/>
      <w:b/>
      <w:bCs/>
    </w:rPr>
  </w:style>
  <w:style w:type="paragraph" w:styleId="Heading7">
    <w:name w:val="heading 7"/>
    <w:basedOn w:val="Normal"/>
    <w:next w:val="BodyText"/>
    <w:link w:val="Heading7Char"/>
    <w:qFormat/>
    <w:rsid w:val="00F653C8"/>
    <w:pPr>
      <w:keepNext/>
      <w:numPr>
        <w:ilvl w:val="6"/>
        <w:numId w:val="11"/>
      </w:numPr>
      <w:spacing w:after="0" w:line="100" w:lineRule="atLeast"/>
      <w:jc w:val="center"/>
      <w:outlineLvl w:val="6"/>
    </w:pPr>
    <w:rPr>
      <w:rFonts w:ascii="Times New Roman" w:eastAsia="Times New Roman" w:hAnsi="Times New Roman" w:cs="Times New Roman"/>
      <w:b/>
      <w:bCs/>
      <w:sz w:val="28"/>
      <w:szCs w:val="24"/>
    </w:rPr>
  </w:style>
  <w:style w:type="paragraph" w:styleId="Heading8">
    <w:name w:val="heading 8"/>
    <w:basedOn w:val="Normal"/>
    <w:next w:val="BodyText"/>
    <w:link w:val="Heading8Char"/>
    <w:qFormat/>
    <w:rsid w:val="00F653C8"/>
    <w:pPr>
      <w:keepNext/>
      <w:numPr>
        <w:ilvl w:val="7"/>
        <w:numId w:val="11"/>
      </w:numPr>
      <w:spacing w:after="0" w:line="100" w:lineRule="atLeast"/>
      <w:jc w:val="both"/>
      <w:outlineLvl w:val="7"/>
    </w:pPr>
    <w:rPr>
      <w:rFonts w:ascii="Times New Roman" w:eastAsia="Times New Roman" w:hAnsi="Times New Roman" w:cs="Times New Roman"/>
      <w:b/>
      <w:bCs/>
      <w:sz w:val="28"/>
      <w:szCs w:val="24"/>
    </w:rPr>
  </w:style>
  <w:style w:type="paragraph" w:styleId="Heading9">
    <w:name w:val="heading 9"/>
    <w:basedOn w:val="Normal"/>
    <w:next w:val="BodyText"/>
    <w:link w:val="Heading9Char"/>
    <w:qFormat/>
    <w:rsid w:val="00F653C8"/>
    <w:pPr>
      <w:keepNext/>
      <w:numPr>
        <w:ilvl w:val="8"/>
        <w:numId w:val="11"/>
      </w:numPr>
      <w:spacing w:after="0" w:line="100" w:lineRule="atLeas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53C8"/>
    <w:rPr>
      <w:rFonts w:ascii="Cambria" w:eastAsia="Arial Unicode MS" w:hAnsi="Cambria" w:cs="Arial"/>
      <w:b/>
      <w:bCs/>
      <w:kern w:val="32"/>
      <w:sz w:val="28"/>
      <w:szCs w:val="32"/>
    </w:rPr>
  </w:style>
  <w:style w:type="character" w:customStyle="1" w:styleId="Heading2Char">
    <w:name w:val="Heading 2 Char"/>
    <w:basedOn w:val="DefaultParagraphFont"/>
    <w:link w:val="Heading2"/>
    <w:rsid w:val="00F653C8"/>
    <w:rPr>
      <w:rFonts w:ascii="Cambria" w:eastAsia="Arial Unicode MS" w:hAnsi="Cambria" w:cs="Arial"/>
      <w:b/>
      <w:bCs/>
      <w:iCs/>
      <w:kern w:val="1"/>
      <w:sz w:val="24"/>
      <w:szCs w:val="28"/>
    </w:rPr>
  </w:style>
  <w:style w:type="character" w:customStyle="1" w:styleId="Heading3Char">
    <w:name w:val="Heading 3 Char"/>
    <w:basedOn w:val="DefaultParagraphFont"/>
    <w:link w:val="Heading3"/>
    <w:rsid w:val="00F653C8"/>
    <w:rPr>
      <w:rFonts w:ascii="Cambria" w:eastAsia="Times New Roman" w:hAnsi="Cambria" w:cs="Times New Roman"/>
      <w:b/>
      <w:bCs/>
      <w:kern w:val="1"/>
      <w:sz w:val="24"/>
      <w:szCs w:val="26"/>
    </w:rPr>
  </w:style>
  <w:style w:type="character" w:customStyle="1" w:styleId="Heading4Char">
    <w:name w:val="Heading 4 Char"/>
    <w:basedOn w:val="DefaultParagraphFont"/>
    <w:link w:val="Heading4"/>
    <w:rsid w:val="00F653C8"/>
    <w:rPr>
      <w:rFonts w:ascii="Cambria" w:eastAsia="Times New Roman" w:hAnsi="Cambria" w:cs="Times New Roman"/>
      <w:kern w:val="1"/>
      <w:sz w:val="24"/>
      <w:szCs w:val="24"/>
    </w:rPr>
  </w:style>
  <w:style w:type="character" w:customStyle="1" w:styleId="Heading5Char">
    <w:name w:val="Heading 5 Char"/>
    <w:basedOn w:val="DefaultParagraphFont"/>
    <w:link w:val="Heading5"/>
    <w:semiHidden/>
    <w:rsid w:val="00F653C8"/>
    <w:rPr>
      <w:rFonts w:ascii="Calibri" w:eastAsia="Times New Roman" w:hAnsi="Calibri" w:cs="Times New Roman"/>
      <w:b/>
      <w:bCs/>
      <w:i/>
      <w:iCs/>
      <w:kern w:val="1"/>
      <w:sz w:val="26"/>
      <w:szCs w:val="26"/>
    </w:rPr>
  </w:style>
  <w:style w:type="character" w:customStyle="1" w:styleId="Heading6Char">
    <w:name w:val="Heading 6 Char"/>
    <w:basedOn w:val="DefaultParagraphFont"/>
    <w:link w:val="Heading6"/>
    <w:semiHidden/>
    <w:rsid w:val="00F653C8"/>
    <w:rPr>
      <w:rFonts w:ascii="Calibri" w:eastAsia="Times New Roman" w:hAnsi="Calibri" w:cs="Times New Roman"/>
      <w:b/>
      <w:bCs/>
      <w:kern w:val="1"/>
    </w:rPr>
  </w:style>
  <w:style w:type="character" w:customStyle="1" w:styleId="Heading7Char">
    <w:name w:val="Heading 7 Char"/>
    <w:basedOn w:val="DefaultParagraphFont"/>
    <w:link w:val="Heading7"/>
    <w:rsid w:val="00F653C8"/>
    <w:rPr>
      <w:rFonts w:ascii="Times New Roman" w:eastAsia="Times New Roman" w:hAnsi="Times New Roman" w:cs="Times New Roman"/>
      <w:b/>
      <w:bCs/>
      <w:kern w:val="1"/>
      <w:sz w:val="28"/>
      <w:szCs w:val="24"/>
    </w:rPr>
  </w:style>
  <w:style w:type="character" w:customStyle="1" w:styleId="Heading8Char">
    <w:name w:val="Heading 8 Char"/>
    <w:basedOn w:val="DefaultParagraphFont"/>
    <w:link w:val="Heading8"/>
    <w:rsid w:val="00F653C8"/>
    <w:rPr>
      <w:rFonts w:ascii="Times New Roman" w:eastAsia="Times New Roman" w:hAnsi="Times New Roman" w:cs="Times New Roman"/>
      <w:b/>
      <w:bCs/>
      <w:kern w:val="1"/>
      <w:sz w:val="28"/>
      <w:szCs w:val="24"/>
    </w:rPr>
  </w:style>
  <w:style w:type="character" w:customStyle="1" w:styleId="Heading9Char">
    <w:name w:val="Heading 9 Char"/>
    <w:basedOn w:val="DefaultParagraphFont"/>
    <w:link w:val="Heading9"/>
    <w:rsid w:val="00F653C8"/>
    <w:rPr>
      <w:rFonts w:ascii="Times New Roman" w:eastAsia="Times New Roman" w:hAnsi="Times New Roman" w:cs="Times New Roman"/>
      <w:kern w:val="1"/>
      <w:sz w:val="28"/>
      <w:szCs w:val="24"/>
    </w:rPr>
  </w:style>
  <w:style w:type="paragraph" w:styleId="BodyText">
    <w:name w:val="Body Text"/>
    <w:basedOn w:val="Normal"/>
    <w:link w:val="BodyTextChar"/>
    <w:rsid w:val="00F653C8"/>
    <w:pPr>
      <w:spacing w:after="120"/>
    </w:pPr>
  </w:style>
  <w:style w:type="character" w:customStyle="1" w:styleId="BodyTextChar">
    <w:name w:val="Body Text Char"/>
    <w:basedOn w:val="DefaultParagraphFont"/>
    <w:link w:val="BodyText"/>
    <w:rsid w:val="00F653C8"/>
    <w:rPr>
      <w:rFonts w:ascii="Calibri" w:eastAsia="Arial Unicode MS" w:hAnsi="Calibri" w:cs="Calibri"/>
      <w:kern w:val="1"/>
    </w:rPr>
  </w:style>
  <w:style w:type="paragraph" w:styleId="ListParagraph">
    <w:name w:val="List Paragraph"/>
    <w:basedOn w:val="Normal"/>
    <w:uiPriority w:val="34"/>
    <w:qFormat/>
    <w:rsid w:val="00F653C8"/>
    <w:pPr>
      <w:ind w:left="720"/>
      <w:contextualSpacing/>
    </w:pPr>
  </w:style>
  <w:style w:type="paragraph" w:styleId="BodyText3">
    <w:name w:val="Body Text 3"/>
    <w:basedOn w:val="Normal"/>
    <w:link w:val="BodyText3Char"/>
    <w:rsid w:val="00F653C8"/>
    <w:pPr>
      <w:spacing w:after="120" w:line="100" w:lineRule="atLeast"/>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F653C8"/>
    <w:rPr>
      <w:rFonts w:ascii="Times New Roman" w:eastAsia="Times New Roman" w:hAnsi="Times New Roman" w:cs="Times New Roman"/>
      <w:kern w:val="1"/>
      <w:sz w:val="16"/>
      <w:szCs w:val="16"/>
    </w:rPr>
  </w:style>
  <w:style w:type="table" w:styleId="TableGrid">
    <w:name w:val="Table Grid"/>
    <w:basedOn w:val="TableNormal"/>
    <w:uiPriority w:val="59"/>
    <w:rsid w:val="00F653C8"/>
    <w:pPr>
      <w:suppressAutoHyphens/>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653C8"/>
    <w:pPr>
      <w:tabs>
        <w:tab w:val="center" w:pos="4680"/>
        <w:tab w:val="right" w:pos="9360"/>
      </w:tabs>
    </w:pPr>
  </w:style>
  <w:style w:type="character" w:customStyle="1" w:styleId="HeaderChar">
    <w:name w:val="Header Char"/>
    <w:basedOn w:val="DefaultParagraphFont"/>
    <w:link w:val="Header"/>
    <w:uiPriority w:val="99"/>
    <w:rsid w:val="00F653C8"/>
    <w:rPr>
      <w:rFonts w:ascii="Calibri" w:eastAsia="Arial Unicode MS" w:hAnsi="Calibri" w:cs="Calibri"/>
      <w:kern w:val="1"/>
    </w:rPr>
  </w:style>
  <w:style w:type="paragraph" w:styleId="Footer">
    <w:name w:val="footer"/>
    <w:basedOn w:val="Normal"/>
    <w:link w:val="FooterChar"/>
    <w:uiPriority w:val="99"/>
    <w:rsid w:val="00F653C8"/>
    <w:pPr>
      <w:tabs>
        <w:tab w:val="center" w:pos="4680"/>
        <w:tab w:val="right" w:pos="9360"/>
      </w:tabs>
    </w:pPr>
  </w:style>
  <w:style w:type="character" w:customStyle="1" w:styleId="FooterChar">
    <w:name w:val="Footer Char"/>
    <w:basedOn w:val="DefaultParagraphFont"/>
    <w:link w:val="Footer"/>
    <w:uiPriority w:val="99"/>
    <w:rsid w:val="00F653C8"/>
    <w:rPr>
      <w:rFonts w:ascii="Calibri" w:eastAsia="Arial Unicode MS" w:hAnsi="Calibri" w:cs="Calibri"/>
      <w:kern w:val="1"/>
    </w:rPr>
  </w:style>
  <w:style w:type="paragraph" w:styleId="BalloonText">
    <w:name w:val="Balloon Text"/>
    <w:basedOn w:val="Normal"/>
    <w:link w:val="BalloonTextChar"/>
    <w:rsid w:val="00F653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653C8"/>
    <w:rPr>
      <w:rFonts w:ascii="Tahoma" w:eastAsia="Arial Unicode MS" w:hAnsi="Tahoma" w:cs="Tahoma"/>
      <w:kern w:val="1"/>
      <w:sz w:val="16"/>
      <w:szCs w:val="16"/>
    </w:rPr>
  </w:style>
  <w:style w:type="table" w:customStyle="1" w:styleId="TableGrid1">
    <w:name w:val="Table Grid1"/>
    <w:basedOn w:val="TableNormal"/>
    <w:next w:val="TableGrid"/>
    <w:uiPriority w:val="59"/>
    <w:rsid w:val="00F653C8"/>
    <w:pPr>
      <w:spacing w:after="0" w:line="240" w:lineRule="auto"/>
    </w:pPr>
    <w:rPr>
      <w:rFonts w:ascii="Calibri" w:eastAsia="Calibri"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F653C8"/>
    <w:pPr>
      <w:keepLines/>
      <w:numPr>
        <w:numId w:val="0"/>
      </w:numPr>
      <w:suppressAutoHyphens w:val="0"/>
      <w:spacing w:before="480" w:after="0"/>
      <w:outlineLvl w:val="9"/>
    </w:pPr>
    <w:rPr>
      <w:rFonts w:eastAsia="Times New Roman" w:cs="Times New Roman"/>
      <w:color w:val="365F91"/>
      <w:kern w:val="0"/>
      <w:szCs w:val="28"/>
    </w:rPr>
  </w:style>
  <w:style w:type="paragraph" w:styleId="TOC1">
    <w:name w:val="toc 1"/>
    <w:basedOn w:val="Normal"/>
    <w:next w:val="Normal"/>
    <w:autoRedefine/>
    <w:uiPriority w:val="39"/>
    <w:rsid w:val="00F653C8"/>
    <w:pPr>
      <w:spacing w:before="120" w:after="0"/>
    </w:pPr>
    <w:rPr>
      <w:rFonts w:asciiTheme="minorHAnsi" w:hAnsiTheme="minorHAnsi"/>
      <w:b/>
    </w:rPr>
  </w:style>
  <w:style w:type="paragraph" w:styleId="TOC2">
    <w:name w:val="toc 2"/>
    <w:basedOn w:val="Normal"/>
    <w:next w:val="Normal"/>
    <w:autoRedefine/>
    <w:uiPriority w:val="39"/>
    <w:rsid w:val="00F653C8"/>
    <w:pPr>
      <w:spacing w:after="0"/>
      <w:ind w:left="220"/>
    </w:pPr>
    <w:rPr>
      <w:rFonts w:asciiTheme="minorHAnsi" w:hAnsiTheme="minorHAnsi"/>
      <w:i/>
    </w:rPr>
  </w:style>
  <w:style w:type="paragraph" w:styleId="TOC3">
    <w:name w:val="toc 3"/>
    <w:basedOn w:val="Normal"/>
    <w:next w:val="Normal"/>
    <w:autoRedefine/>
    <w:uiPriority w:val="39"/>
    <w:rsid w:val="00F653C8"/>
    <w:pPr>
      <w:spacing w:after="0"/>
      <w:ind w:left="440"/>
    </w:pPr>
    <w:rPr>
      <w:rFonts w:asciiTheme="minorHAnsi" w:hAnsiTheme="minorHAnsi"/>
    </w:rPr>
  </w:style>
  <w:style w:type="character" w:styleId="Hyperlink">
    <w:name w:val="Hyperlink"/>
    <w:basedOn w:val="DefaultParagraphFont"/>
    <w:uiPriority w:val="99"/>
    <w:unhideWhenUsed/>
    <w:rsid w:val="00F653C8"/>
    <w:rPr>
      <w:color w:val="0000FF"/>
      <w:u w:val="single"/>
    </w:rPr>
  </w:style>
  <w:style w:type="paragraph" w:styleId="BodyTextIndent">
    <w:name w:val="Body Text Indent"/>
    <w:basedOn w:val="Normal"/>
    <w:link w:val="BodyTextIndentChar"/>
    <w:uiPriority w:val="99"/>
    <w:unhideWhenUsed/>
    <w:rsid w:val="00F653C8"/>
    <w:pPr>
      <w:spacing w:after="120"/>
      <w:ind w:left="360"/>
    </w:pPr>
  </w:style>
  <w:style w:type="character" w:customStyle="1" w:styleId="BodyTextIndentChar">
    <w:name w:val="Body Text Indent Char"/>
    <w:basedOn w:val="DefaultParagraphFont"/>
    <w:link w:val="BodyTextIndent"/>
    <w:uiPriority w:val="99"/>
    <w:rsid w:val="00F653C8"/>
    <w:rPr>
      <w:rFonts w:ascii="Calibri" w:eastAsia="Arial Unicode MS" w:hAnsi="Calibri" w:cs="Calibri"/>
      <w:kern w:val="1"/>
    </w:rPr>
  </w:style>
  <w:style w:type="paragraph" w:customStyle="1" w:styleId="Default">
    <w:name w:val="Default"/>
    <w:rsid w:val="00F653C8"/>
    <w:pPr>
      <w:autoSpaceDE w:val="0"/>
      <w:autoSpaceDN w:val="0"/>
      <w:adjustRightInd w:val="0"/>
      <w:spacing w:after="0" w:line="240" w:lineRule="auto"/>
    </w:pPr>
    <w:rPr>
      <w:rFonts w:ascii="Calibri" w:hAnsi="Calibri" w:cs="Calibri"/>
      <w:color w:val="000000"/>
      <w:sz w:val="24"/>
      <w:szCs w:val="24"/>
    </w:rPr>
  </w:style>
  <w:style w:type="table" w:customStyle="1" w:styleId="TableGrid2">
    <w:name w:val="Table Grid2"/>
    <w:basedOn w:val="TableNormal"/>
    <w:next w:val="TableGrid"/>
    <w:uiPriority w:val="59"/>
    <w:rsid w:val="00F653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F653C8"/>
    <w:pPr>
      <w:suppressAutoHyphens w:val="0"/>
      <w:spacing w:before="240" w:after="240" w:line="240" w:lineRule="auto"/>
    </w:pPr>
    <w:rPr>
      <w:rFonts w:ascii="Times New Roman" w:eastAsia="Times New Roman" w:hAnsi="Times New Roman" w:cs="Times New Roman"/>
      <w:kern w:val="0"/>
      <w:sz w:val="24"/>
      <w:szCs w:val="24"/>
    </w:rPr>
  </w:style>
  <w:style w:type="table" w:customStyle="1" w:styleId="LightList1">
    <w:name w:val="Light List1"/>
    <w:basedOn w:val="TableNormal"/>
    <w:uiPriority w:val="61"/>
    <w:rsid w:val="00266CEB"/>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OC4">
    <w:name w:val="toc 4"/>
    <w:basedOn w:val="Normal"/>
    <w:next w:val="Normal"/>
    <w:autoRedefine/>
    <w:uiPriority w:val="39"/>
    <w:semiHidden/>
    <w:unhideWhenUsed/>
    <w:rsid w:val="00541CC3"/>
    <w:pPr>
      <w:spacing w:after="0"/>
      <w:ind w:left="660"/>
    </w:pPr>
    <w:rPr>
      <w:rFonts w:asciiTheme="minorHAnsi" w:hAnsiTheme="minorHAnsi"/>
      <w:sz w:val="20"/>
      <w:szCs w:val="20"/>
    </w:rPr>
  </w:style>
  <w:style w:type="paragraph" w:styleId="TOC5">
    <w:name w:val="toc 5"/>
    <w:basedOn w:val="Normal"/>
    <w:next w:val="Normal"/>
    <w:autoRedefine/>
    <w:uiPriority w:val="39"/>
    <w:semiHidden/>
    <w:unhideWhenUsed/>
    <w:rsid w:val="00541CC3"/>
    <w:pPr>
      <w:spacing w:after="0"/>
      <w:ind w:left="880"/>
    </w:pPr>
    <w:rPr>
      <w:rFonts w:asciiTheme="minorHAnsi" w:hAnsiTheme="minorHAnsi"/>
      <w:sz w:val="20"/>
      <w:szCs w:val="20"/>
    </w:rPr>
  </w:style>
  <w:style w:type="paragraph" w:styleId="TOC6">
    <w:name w:val="toc 6"/>
    <w:basedOn w:val="Normal"/>
    <w:next w:val="Normal"/>
    <w:autoRedefine/>
    <w:uiPriority w:val="39"/>
    <w:semiHidden/>
    <w:unhideWhenUsed/>
    <w:rsid w:val="00541CC3"/>
    <w:pPr>
      <w:spacing w:after="0"/>
      <w:ind w:left="1100"/>
    </w:pPr>
    <w:rPr>
      <w:rFonts w:asciiTheme="minorHAnsi" w:hAnsiTheme="minorHAnsi"/>
      <w:sz w:val="20"/>
      <w:szCs w:val="20"/>
    </w:rPr>
  </w:style>
  <w:style w:type="paragraph" w:styleId="TOC7">
    <w:name w:val="toc 7"/>
    <w:basedOn w:val="Normal"/>
    <w:next w:val="Normal"/>
    <w:autoRedefine/>
    <w:uiPriority w:val="39"/>
    <w:semiHidden/>
    <w:unhideWhenUsed/>
    <w:rsid w:val="00541CC3"/>
    <w:pPr>
      <w:spacing w:after="0"/>
      <w:ind w:left="1320"/>
    </w:pPr>
    <w:rPr>
      <w:rFonts w:asciiTheme="minorHAnsi" w:hAnsiTheme="minorHAnsi"/>
      <w:sz w:val="20"/>
      <w:szCs w:val="20"/>
    </w:rPr>
  </w:style>
  <w:style w:type="paragraph" w:styleId="TOC8">
    <w:name w:val="toc 8"/>
    <w:basedOn w:val="Normal"/>
    <w:next w:val="Normal"/>
    <w:autoRedefine/>
    <w:uiPriority w:val="39"/>
    <w:semiHidden/>
    <w:unhideWhenUsed/>
    <w:rsid w:val="00541CC3"/>
    <w:pPr>
      <w:spacing w:after="0"/>
      <w:ind w:left="1540"/>
    </w:pPr>
    <w:rPr>
      <w:rFonts w:asciiTheme="minorHAnsi" w:hAnsiTheme="minorHAnsi"/>
      <w:sz w:val="20"/>
      <w:szCs w:val="20"/>
    </w:rPr>
  </w:style>
  <w:style w:type="paragraph" w:styleId="TOC9">
    <w:name w:val="toc 9"/>
    <w:basedOn w:val="Normal"/>
    <w:next w:val="Normal"/>
    <w:autoRedefine/>
    <w:uiPriority w:val="39"/>
    <w:semiHidden/>
    <w:unhideWhenUsed/>
    <w:rsid w:val="00541CC3"/>
    <w:pPr>
      <w:spacing w:after="0"/>
      <w:ind w:left="1760"/>
    </w:pPr>
    <w:rPr>
      <w:rFonts w:asciiTheme="minorHAnsi" w:hAnsi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5E204-2862-9F42-91A6-9A6F6489E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44</Pages>
  <Words>13102</Words>
  <Characters>74687</Characters>
  <Application>Microsoft Macintosh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vesna.vujacic</dc:creator>
  <cp:lastModifiedBy>Microsoft Office User</cp:lastModifiedBy>
  <cp:revision>8</cp:revision>
  <dcterms:created xsi:type="dcterms:W3CDTF">2016-03-28T14:03:00Z</dcterms:created>
  <dcterms:modified xsi:type="dcterms:W3CDTF">2016-08-22T10:50:00Z</dcterms:modified>
</cp:coreProperties>
</file>